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26628" w14:textId="77777777" w:rsidR="00E5175C" w:rsidRDefault="00E5175C" w:rsidP="00E5175C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ОПИС</w:t>
      </w:r>
      <w:r w:rsidR="00FA652B" w:rsidRPr="00066056">
        <w:rPr>
          <w:rFonts w:ascii="Times New Roman" w:eastAsia="Times New Roman" w:hAnsi="Times New Roman" w:cs="Times New Roman"/>
          <w:b/>
          <w:kern w:val="2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ВАКАНТНОЇ ПОСАДИ</w:t>
      </w:r>
    </w:p>
    <w:p w14:paraId="5305E120" w14:textId="77777777" w:rsidR="00E5175C" w:rsidRDefault="002519FD" w:rsidP="00E5175C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державної служби</w:t>
      </w:r>
      <w:r w:rsidR="00E5175C">
        <w:rPr>
          <w:rFonts w:ascii="Times New Roman" w:eastAsia="Times New Roman" w:hAnsi="Times New Roman" w:cs="Times New Roman"/>
          <w:color w:val="000000"/>
          <w:kern w:val="20"/>
          <w:sz w:val="28"/>
          <w:szCs w:val="28"/>
          <w:lang w:eastAsia="ru-RU"/>
        </w:rPr>
        <w:t xml:space="preserve"> </w:t>
      </w:r>
      <w:r w:rsidR="004F49B0" w:rsidRPr="00C1722E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категорії «</w:t>
      </w:r>
      <w:r w:rsidR="00FD0D6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Б</w:t>
      </w:r>
      <w:r w:rsidR="00ED222C" w:rsidRPr="00C1722E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»</w:t>
      </w:r>
      <w:r w:rsidR="00C1722E"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>-</w:t>
      </w:r>
    </w:p>
    <w:p w14:paraId="239A653D" w14:textId="77777777" w:rsidR="000A1794" w:rsidRPr="00E5175C" w:rsidRDefault="00FD0D64" w:rsidP="00E5175C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>заступника начальника</w:t>
      </w:r>
      <w:r w:rsidR="006E6717"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відділу ведення Єдиного реєстру досудових розслідувань та інформаційно-аналітичної роботи</w:t>
      </w:r>
    </w:p>
    <w:p w14:paraId="752A9C1D" w14:textId="77777777" w:rsidR="00382E94" w:rsidRPr="00C1722E" w:rsidRDefault="00C1722E" w:rsidP="00E5175C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 w:rsidRPr="00C1722E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Львівської</w:t>
      </w:r>
      <w:r w:rsidR="000A1794" w:rsidRPr="00C1722E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 обласної прокуратури</w:t>
      </w:r>
    </w:p>
    <w:p w14:paraId="7EB40542" w14:textId="77777777" w:rsidR="00382E94" w:rsidRPr="00382E94" w:rsidRDefault="00382E94" w:rsidP="00ED222C">
      <w:pPr>
        <w:shd w:val="clear" w:color="auto" w:fill="FFFFFF"/>
        <w:spacing w:after="0" w:line="240" w:lineRule="auto"/>
        <w:ind w:left="262" w:right="26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4"/>
          <w:szCs w:val="24"/>
          <w:lang w:eastAsia="uk-UA"/>
        </w:rPr>
      </w:pPr>
    </w:p>
    <w:tbl>
      <w:tblPr>
        <w:tblW w:w="5084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8"/>
        <w:gridCol w:w="3210"/>
        <w:gridCol w:w="5682"/>
      </w:tblGrid>
      <w:tr w:rsidR="00E64125" w:rsidRPr="00314D12" w14:paraId="76A17351" w14:textId="77777777" w:rsidTr="006038A3">
        <w:trPr>
          <w:trHeight w:val="266"/>
        </w:trPr>
        <w:tc>
          <w:tcPr>
            <w:tcW w:w="10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B793" w14:textId="77777777" w:rsidR="00E64125" w:rsidRPr="00644DA5" w:rsidRDefault="00E64125" w:rsidP="00644D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</w:tc>
      </w:tr>
      <w:tr w:rsidR="00E64125" w:rsidRPr="00314D12" w14:paraId="624850FB" w14:textId="77777777" w:rsidTr="00593F61">
        <w:trPr>
          <w:trHeight w:val="266"/>
        </w:trPr>
        <w:tc>
          <w:tcPr>
            <w:tcW w:w="439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D1E05D" w14:textId="77777777" w:rsidR="00E64125" w:rsidRPr="00314D12" w:rsidRDefault="00E64125" w:rsidP="00624C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992607" w14:textId="5DA2DB2F" w:rsidR="006E6717" w:rsidRPr="008A6981" w:rsidRDefault="00990BFD" w:rsidP="008072F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7"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повнотою та своєчасністю внесення структурними підрозділами обласної прокуратури, </w:t>
            </w:r>
            <w:r w:rsidR="00022AAC">
              <w:rPr>
                <w:rFonts w:ascii="Times New Roman" w:hAnsi="Times New Roman" w:cs="Times New Roman"/>
                <w:sz w:val="24"/>
                <w:szCs w:val="24"/>
              </w:rPr>
              <w:t>окружними</w:t>
            </w:r>
            <w:r w:rsidRPr="008A6981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прокуратурами відомостей до ЄРДР. При встановленні порушень обліково-реєстраційної роботи внесення пропозицій щодо вжиття заходів реагування, впровадження дієвих форм контролю з метою попередження таких фактів;</w:t>
            </w:r>
          </w:p>
          <w:p w14:paraId="1E54B702" w14:textId="77777777" w:rsidR="00990BFD" w:rsidRPr="008A6981" w:rsidRDefault="00990BFD" w:rsidP="008072F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7"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8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аналізу статистичної інформації з метою виявлення тенденцій щодо стану та структури кримінальних правопорушень, вчинених у регіоні;</w:t>
            </w:r>
          </w:p>
          <w:p w14:paraId="32FD80C0" w14:textId="03C1A0CE" w:rsidR="00990BFD" w:rsidRPr="008A6981" w:rsidRDefault="00990BFD" w:rsidP="008072F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7"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участь (щомісяця) у підготовці інформаційно-статистичних та аналітичних матеріалів про стан та структуру кримінальних правопорушень, вчинених на території регіону для забезпечення керівника обласної прокуратури, його заступників, керівників самостійних структурних підрозділів, керівників </w:t>
            </w:r>
            <w:r w:rsidR="00022A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окружних</w:t>
            </w:r>
            <w:r w:rsidRPr="008A6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прокуратур та направлення до правоохоронних органів для використання у практичній діяльності, а також Єдиної звітності про кримінальні правопорушення, осіб, які їх учинили;</w:t>
            </w:r>
          </w:p>
          <w:p w14:paraId="424101FE" w14:textId="77777777" w:rsidR="00990BFD" w:rsidRPr="008A6981" w:rsidRDefault="00C96938" w:rsidP="008072F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7"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81">
              <w:rPr>
                <w:rFonts w:ascii="Times New Roman" w:hAnsi="Times New Roman" w:cs="Times New Roman"/>
                <w:bCs/>
                <w:sz w:val="24"/>
                <w:szCs w:val="24"/>
              </w:rPr>
              <w:t>перевірка звітності за формою № П «Про роботу прокурора» на підставі відомостей, внесених до інформаційно-аналітичної системи «Облік та статистика органів прокуратури»;</w:t>
            </w:r>
          </w:p>
          <w:p w14:paraId="52F6489C" w14:textId="77777777" w:rsidR="00C96938" w:rsidRPr="008A6981" w:rsidRDefault="003F55D2" w:rsidP="008072F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7"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81">
              <w:rPr>
                <w:rFonts w:ascii="Times New Roman" w:hAnsi="Times New Roman" w:cs="Times New Roman"/>
                <w:sz w:val="24"/>
                <w:szCs w:val="24"/>
              </w:rPr>
              <w:t>внесення пропозиції (за наявності підстав) щодо вжиття заходів реагування на порушення обліково-статистичної роботи, впровадження дієвих форм контролю з метою попередження таких фактів;</w:t>
            </w:r>
          </w:p>
          <w:p w14:paraId="4D4C729F" w14:textId="77777777" w:rsidR="003E694B" w:rsidRPr="008A6981" w:rsidRDefault="00DB03C2" w:rsidP="008072F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7"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 нагляду за додержанням законів у формі процесуального керівництва при проведенні досудового розслідування кримінальних проваджень про злочини, пов’язані з несанкціонованим втручанням у роботу інформаційної системи та діями з інформацією, яка обробляється в Єдиному реєстрі досудових розслідувань (</w:t>
            </w:r>
            <w:r w:rsidRPr="008A6981">
              <w:rPr>
                <w:rFonts w:ascii="Times New Roman" w:hAnsi="Times New Roman" w:cs="Times New Roman"/>
                <w:sz w:val="24"/>
                <w:szCs w:val="24"/>
              </w:rPr>
              <w:t>за дорученням керівника обласної прокуратури)</w:t>
            </w:r>
            <w:r w:rsidRPr="008A6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8D61176" w14:textId="1E39163F" w:rsidR="00DB03C2" w:rsidRPr="008A6981" w:rsidRDefault="0051506D" w:rsidP="008072F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7"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вжиття заходів до підвищення ефективності роботи </w:t>
            </w:r>
            <w:r w:rsidR="00022AAC">
              <w:rPr>
                <w:rFonts w:ascii="Times New Roman" w:hAnsi="Times New Roman" w:cs="Times New Roman"/>
                <w:bCs/>
                <w:sz w:val="24"/>
                <w:szCs w:val="24"/>
              </w:rPr>
              <w:t>окружних</w:t>
            </w:r>
            <w:r w:rsidRPr="008A6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прокуратур з питань ведення Єдиного реєстру досудових розслідувань, статистики та її аналізу, системне вивчення цих питань, сприяння в усуненні наявних недоліків, </w:t>
            </w:r>
            <w:r w:rsidRPr="008A69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надання практичної допомоги керівникам прокуратур;</w:t>
            </w:r>
          </w:p>
          <w:p w14:paraId="17688B3A" w14:textId="643D32EA" w:rsidR="0051506D" w:rsidRPr="008A6981" w:rsidRDefault="006D2444" w:rsidP="008072F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7"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81">
              <w:rPr>
                <w:rFonts w:ascii="Times New Roman" w:hAnsi="Times New Roman" w:cs="Times New Roman"/>
                <w:sz w:val="24"/>
                <w:szCs w:val="24"/>
              </w:rPr>
              <w:t>здійснення перевірки</w:t>
            </w:r>
            <w:r w:rsidRPr="008A6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статистичної звітності форм № 1-СЛ «Про роботу органів досудового розслідування», </w:t>
            </w:r>
            <w:r w:rsidR="00022AAC" w:rsidRPr="00022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Звіт </w:t>
            </w:r>
            <w:r w:rsidR="00022AAC" w:rsidRPr="0002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ДН «Звіт про результати діяльності органів правопорядку щодо стану запобігання та протидії кримінальним правопорушенням, пов</w:t>
            </w:r>
            <w:r w:rsidR="00022AAC" w:rsidRPr="00593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="00022AAC" w:rsidRPr="0002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язаним з домашнім насильство», № 1 – ЛФТ </w:t>
            </w:r>
            <w:r w:rsidR="00022AAC" w:rsidRPr="00022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022AAC" w:rsidRPr="00593F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Звіт про результати розслідування кримінальних проваджень про кримінальні правопорушення щодо легалізації (відмивання) майна, одержаного злочинним шляхом, фінансування тероризму, розповсюдження зброї масового знищення</w:t>
            </w:r>
            <w:r w:rsidR="00022AAC" w:rsidRPr="00022A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022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№1-КОР</w:t>
            </w:r>
            <w:r w:rsidRPr="008A6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«Звіт про стан протидії корупції»;</w:t>
            </w:r>
          </w:p>
          <w:p w14:paraId="20B1DBC1" w14:textId="77777777" w:rsidR="006D2444" w:rsidRPr="008A6981" w:rsidRDefault="008A6981" w:rsidP="008072F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7"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81">
              <w:rPr>
                <w:rFonts w:ascii="Times New Roman" w:hAnsi="Times New Roman" w:cs="Times New Roman"/>
                <w:sz w:val="24"/>
                <w:szCs w:val="24"/>
              </w:rPr>
              <w:t>здійснення перевірки</w:t>
            </w:r>
            <w:r w:rsidRPr="008A6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6981">
              <w:rPr>
                <w:rFonts w:ascii="Times New Roman" w:hAnsi="Times New Roman" w:cs="Times New Roman"/>
                <w:sz w:val="24"/>
                <w:szCs w:val="24"/>
              </w:rPr>
              <w:t>з питань повноти, своєчасності, достовірності внесення відомостей в ІАС «ОСОП» щодо негласних слідчих (розшукових) дій та результатів нагляду за додержанням законів при здійсненні оперативно-розшукової діяльності.</w:t>
            </w:r>
          </w:p>
        </w:tc>
      </w:tr>
      <w:tr w:rsidR="00E5175C" w:rsidRPr="00314D12" w14:paraId="0A44E99F" w14:textId="77777777" w:rsidTr="00593F61">
        <w:trPr>
          <w:trHeight w:val="266"/>
        </w:trPr>
        <w:tc>
          <w:tcPr>
            <w:tcW w:w="439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578D2C" w14:textId="77777777" w:rsidR="00E5175C" w:rsidRPr="00E5175C" w:rsidRDefault="00E5175C" w:rsidP="00E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Умови оплати праці 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CF783F" w14:textId="77777777" w:rsidR="00E5175C" w:rsidRPr="00E5175C" w:rsidRDefault="00E5175C" w:rsidP="00ED0052">
            <w:pPr>
              <w:ind w:left="17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>посадовий оклад</w:t>
            </w:r>
            <w:r w:rsidR="00ED0052">
              <w:rPr>
                <w:rFonts w:ascii="Times New Roman" w:hAnsi="Times New Roman" w:cs="Times New Roman"/>
                <w:sz w:val="24"/>
                <w:szCs w:val="24"/>
              </w:rPr>
              <w:t xml:space="preserve"> – 27108</w:t>
            </w: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>, надбавки, доплати, премії та компенсації відповідно до статей 50-52 Закону України «Про державну службу</w:t>
            </w:r>
            <w:r w:rsidR="00ED005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052" w:rsidRPr="00CF7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Прикінцевих положень Закону України «Про Державний бюджет України на 2025 рік».</w:t>
            </w:r>
          </w:p>
        </w:tc>
      </w:tr>
      <w:tr w:rsidR="00E5175C" w:rsidRPr="00314D12" w14:paraId="3FD7A47F" w14:textId="77777777" w:rsidTr="00593F61">
        <w:trPr>
          <w:trHeight w:val="743"/>
        </w:trPr>
        <w:tc>
          <w:tcPr>
            <w:tcW w:w="43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0C33F59" w14:textId="77777777" w:rsidR="00E5175C" w:rsidRPr="00314D12" w:rsidRDefault="00E5175C" w:rsidP="00E5175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строковість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безстроковість 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 на посаду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D61F0DB" w14:textId="77777777" w:rsidR="00070E32" w:rsidRDefault="00070E32" w:rsidP="00070E32">
            <w:pPr>
              <w:spacing w:after="0" w:line="240" w:lineRule="auto"/>
              <w:ind w:left="177" w:right="1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34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троково, до призначення переможця</w:t>
            </w:r>
            <w:r w:rsidRPr="003832CC">
              <w:rPr>
                <w:rFonts w:ascii="Times New Roman" w:hAnsi="Times New Roman"/>
                <w:color w:val="000000"/>
                <w:sz w:val="24"/>
              </w:rPr>
              <w:t xml:space="preserve"> конкурсу, або спливу 12-місячного терміну з дня припинення чи скасування воєнного стану.</w:t>
            </w:r>
          </w:p>
          <w:p w14:paraId="2161CBE4" w14:textId="77777777" w:rsidR="00E5175C" w:rsidRPr="00DD7059" w:rsidRDefault="00AF68C2" w:rsidP="00AF68C2">
            <w:pPr>
              <w:pStyle w:val="a4"/>
              <w:ind w:left="177" w:right="27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*Відповідно до Закону України «Про державну службу», с</w:t>
            </w:r>
            <w:r w:rsidR="00897FA3" w:rsidRPr="00897FA3">
              <w:rPr>
                <w:rFonts w:ascii="Times New Roman" w:hAnsi="Times New Roman"/>
                <w:sz w:val="24"/>
                <w:szCs w:val="24"/>
              </w:rPr>
              <w:t>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5A1235" w:rsidRPr="00314D12" w14:paraId="295D44DA" w14:textId="77777777" w:rsidTr="00593F61">
        <w:tc>
          <w:tcPr>
            <w:tcW w:w="43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ECE7E98" w14:textId="77777777" w:rsidR="005A1235" w:rsidRPr="005A1235" w:rsidRDefault="005A1235" w:rsidP="005A12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35">
              <w:rPr>
                <w:rFonts w:ascii="Times New Roman" w:hAnsi="Times New Roman" w:cs="Times New Roman"/>
                <w:sz w:val="24"/>
                <w:szCs w:val="24"/>
              </w:rPr>
              <w:t xml:space="preserve">Перелік документів, які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потрібно</w:t>
            </w:r>
            <w:r w:rsidRPr="005A1235">
              <w:rPr>
                <w:rFonts w:ascii="Times New Roman" w:hAnsi="Times New Roman" w:cs="Times New Roman"/>
                <w:sz w:val="24"/>
                <w:szCs w:val="24"/>
              </w:rPr>
              <w:t xml:space="preserve">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5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DB5A9E" w14:textId="77777777" w:rsidR="00A8473E" w:rsidRDefault="00A8473E" w:rsidP="00A8473E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>
              <w:t>заява про призначення на посаду на період дії воєнного стану;</w:t>
            </w:r>
          </w:p>
          <w:p w14:paraId="14305198" w14:textId="77777777" w:rsidR="00A8473E" w:rsidRDefault="00A8473E" w:rsidP="00A8473E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>
              <w:t>резюме (відповідно до постанови КМУ від 12.02.2020 № 98);</w:t>
            </w:r>
          </w:p>
          <w:p w14:paraId="1CB6E0CE" w14:textId="77777777" w:rsidR="00A8473E" w:rsidRDefault="00A8473E" w:rsidP="00A8473E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>
              <w:t>);</w:t>
            </w:r>
          </w:p>
          <w:p w14:paraId="2EDAF53C" w14:textId="77777777" w:rsidR="00A8473E" w:rsidRDefault="00A8473E" w:rsidP="00A8473E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>
              <w:t xml:space="preserve">копія паспорта </w:t>
            </w:r>
            <w:bookmarkStart w:id="2" w:name="n25"/>
            <w:bookmarkEnd w:id="2"/>
            <w:r>
              <w:t>громадянина України;</w:t>
            </w:r>
          </w:p>
          <w:p w14:paraId="20FED3B1" w14:textId="77777777" w:rsidR="00A8473E" w:rsidRDefault="00A8473E" w:rsidP="00A8473E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14:paraId="6B0BFF6B" w14:textId="77777777" w:rsidR="00A8473E" w:rsidRDefault="00A8473E" w:rsidP="00A8473E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>
              <w:t>копії документів про освіту з додатками, науковий ступінь, вчене звання</w:t>
            </w:r>
            <w:bookmarkStart w:id="4" w:name="n27"/>
            <w:bookmarkEnd w:id="4"/>
          </w:p>
          <w:p w14:paraId="4652AF12" w14:textId="77777777" w:rsidR="00A8473E" w:rsidRDefault="00A8473E" w:rsidP="00A8473E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>
              <w:t>копія трудової книжки;</w:t>
            </w:r>
          </w:p>
          <w:p w14:paraId="6D132179" w14:textId="77777777" w:rsidR="00A8473E" w:rsidRDefault="00A8473E" w:rsidP="00A8473E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14:paraId="11F81A4B" w14:textId="77777777" w:rsidR="00A8473E" w:rsidRDefault="00A8473E" w:rsidP="00A8473E">
            <w:pPr>
              <w:pStyle w:val="rvps2"/>
              <w:numPr>
                <w:ilvl w:val="0"/>
                <w:numId w:val="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>
              <w:rPr>
                <w:shd w:val="clear" w:color="auto" w:fill="FFFFFF"/>
              </w:rPr>
              <w:lastRenderedPageBreak/>
              <w:t>заява, в якій повідомляє, що до неї не застосовуються заборони, визначені </w:t>
            </w:r>
            <w:hyperlink r:id="rId5" w:anchor="n13" w:tgtFrame="_blank" w:history="1">
              <w:r>
                <w:rPr>
                  <w:rStyle w:val="a3"/>
                </w:rPr>
                <w:t>частиною третьою</w:t>
              </w:r>
            </w:hyperlink>
            <w:r>
              <w:rPr>
                <w:shd w:val="clear" w:color="auto" w:fill="FFFFFF"/>
              </w:rPr>
              <w:t> або </w:t>
            </w:r>
            <w:hyperlink r:id="rId6" w:anchor="n14" w:tgtFrame="_blank" w:history="1">
              <w:r>
                <w:rPr>
                  <w:rStyle w:val="a3"/>
                </w:rPr>
                <w:t>четвертою</w:t>
              </w:r>
            </w:hyperlink>
            <w:r>
              <w:rPr>
                <w:shd w:val="clear" w:color="auto" w:fill="FFFFFF"/>
              </w:rPr>
              <w:t xml:space="preserve"> 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</w:t>
            </w:r>
            <w:r>
              <w:t>завірена в установленому порядку копія довідки про результати проведення перевірки відповідно до </w:t>
            </w:r>
            <w:hyperlink r:id="rId7" w:tgtFrame="_blank" w:history="1">
              <w:r>
                <w:rPr>
                  <w:rStyle w:val="a3"/>
                </w:rPr>
                <w:t>Закону України</w:t>
              </w:r>
            </w:hyperlink>
            <w:r>
              <w:t> «Про очищення влади»;</w:t>
            </w:r>
          </w:p>
          <w:p w14:paraId="7615621F" w14:textId="77777777" w:rsidR="00A8473E" w:rsidRDefault="00A8473E" w:rsidP="00A8473E">
            <w:pPr>
              <w:pStyle w:val="rvps2"/>
              <w:numPr>
                <w:ilvl w:val="0"/>
                <w:numId w:val="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>
              <w:rPr>
                <w:shd w:val="clear" w:color="auto" w:fill="FFFFFF"/>
              </w:rPr>
              <w:t>письмова згода на проведення спеціальної перевірки за формою згідно з </w:t>
            </w:r>
            <w:hyperlink r:id="rId8" w:anchor="n103" w:history="1">
              <w:r>
                <w:rPr>
                  <w:rStyle w:val="a3"/>
                </w:rPr>
                <w:t>додатком 1</w:t>
              </w:r>
            </w:hyperlink>
            <w:r>
              <w:rPr>
                <w:rStyle w:val="a9"/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rvts23"/>
                <w:bCs/>
              </w:rPr>
              <w:t>Порядку</w:t>
            </w:r>
            <w:r>
              <w:br/>
            </w:r>
            <w:r>
              <w:rPr>
                <w:rStyle w:val="rvts23"/>
                <w:bCs/>
              </w:rPr>
              <w:t>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 березня 2015 року №171;</w:t>
            </w:r>
          </w:p>
          <w:p w14:paraId="2D6225EA" w14:textId="77777777" w:rsidR="00A8473E" w:rsidRDefault="00A8473E" w:rsidP="00A8473E">
            <w:pPr>
              <w:pStyle w:val="rvps2"/>
              <w:numPr>
                <w:ilvl w:val="0"/>
                <w:numId w:val="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14:paraId="29555627" w14:textId="77777777" w:rsidR="005A1235" w:rsidRPr="005A1235" w:rsidRDefault="005A1235" w:rsidP="00A8473E">
            <w:pPr>
              <w:pStyle w:val="rvps2"/>
              <w:shd w:val="clear" w:color="auto" w:fill="FFFFFF"/>
              <w:tabs>
                <w:tab w:val="left" w:pos="567"/>
                <w:tab w:val="left" w:pos="885"/>
                <w:tab w:val="left" w:pos="1027"/>
              </w:tabs>
              <w:spacing w:before="0" w:beforeAutospacing="0" w:after="0" w:afterAutospacing="0"/>
              <w:ind w:left="602" w:right="142"/>
              <w:jc w:val="both"/>
            </w:pPr>
          </w:p>
          <w:p w14:paraId="49D6EF55" w14:textId="77777777" w:rsidR="005A1235" w:rsidRPr="005A1235" w:rsidRDefault="005A1235" w:rsidP="005A123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  <w:rPr>
                <w:shd w:val="clear" w:color="auto" w:fill="FFFFFF"/>
              </w:rPr>
            </w:pPr>
          </w:p>
          <w:p w14:paraId="55A86F90" w14:textId="77777777" w:rsidR="00ED0052" w:rsidRDefault="005A1235" w:rsidP="006E6717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</w:pPr>
            <w:r w:rsidRPr="005A1235">
              <w:t xml:space="preserve">Документи приймаються </w:t>
            </w:r>
            <w:r w:rsidRPr="005A1235">
              <w:rPr>
                <w:b/>
                <w:bCs/>
              </w:rPr>
              <w:t xml:space="preserve">до </w:t>
            </w:r>
            <w:r w:rsidR="00ED0052">
              <w:rPr>
                <w:b/>
                <w:bCs/>
              </w:rPr>
              <w:t>09 листопада 2025 року</w:t>
            </w:r>
            <w:r w:rsidRPr="005A1235">
              <w:rPr>
                <w:b/>
                <w:bCs/>
              </w:rPr>
              <w:t xml:space="preserve"> </w:t>
            </w:r>
            <w:proofErr w:type="spellStart"/>
            <w:r w:rsidRPr="005A1235">
              <w:rPr>
                <w:b/>
                <w:bCs/>
              </w:rPr>
              <w:t>року</w:t>
            </w:r>
            <w:proofErr w:type="spellEnd"/>
            <w:r w:rsidRPr="005A1235">
              <w:t xml:space="preserve"> </w:t>
            </w:r>
          </w:p>
          <w:p w14:paraId="39CCBF6E" w14:textId="77777777" w:rsidR="00ED0052" w:rsidRPr="00CF7D9E" w:rsidRDefault="00ED0052" w:rsidP="00ED0052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F7D9E">
              <w:t xml:space="preserve">на </w:t>
            </w:r>
            <w:r w:rsidRPr="00CF7D9E">
              <w:rPr>
                <w:b/>
                <w:bCs/>
              </w:rPr>
              <w:t>електронну адресу:</w:t>
            </w:r>
            <w:r w:rsidRPr="00CF7D9E">
              <w:t xml:space="preserve"> </w:t>
            </w:r>
            <w:hyperlink r:id="rId9" w:history="1">
              <w:r w:rsidRPr="00CF7D9E">
                <w:rPr>
                  <w:rStyle w:val="a3"/>
                  <w:b/>
                </w:rPr>
                <w:t>kadry_sp@oblprok.lviv.ua</w:t>
              </w:r>
            </w:hyperlink>
            <w:r w:rsidRPr="00CF7D9E">
              <w:t xml:space="preserve"> </w:t>
            </w:r>
          </w:p>
          <w:p w14:paraId="7ED8A9D0" w14:textId="77777777" w:rsidR="00ED0052" w:rsidRPr="00CF7D9E" w:rsidRDefault="00ED0052" w:rsidP="00ED0052">
            <w:pPr>
              <w:pStyle w:val="rvps2"/>
              <w:shd w:val="clear" w:color="auto" w:fill="FFFFFF"/>
              <w:tabs>
                <w:tab w:val="left" w:pos="465"/>
                <w:tab w:val="left" w:pos="567"/>
              </w:tabs>
              <w:spacing w:before="0" w:beforeAutospacing="0" w:after="0" w:afterAutospacing="0"/>
              <w:ind w:left="298" w:right="282" w:firstLine="26"/>
              <w:jc w:val="both"/>
            </w:pPr>
            <w:r w:rsidRPr="00CF7D9E">
              <w:t xml:space="preserve">рекомендований розмір файлу не повинен перевищувати </w:t>
            </w:r>
            <w:r w:rsidRPr="00CF7D9E">
              <w:rPr>
                <w:b/>
              </w:rPr>
              <w:t>10 МБ</w:t>
            </w:r>
          </w:p>
          <w:p w14:paraId="58F77C02" w14:textId="77777777" w:rsidR="006E6717" w:rsidRPr="005A1235" w:rsidRDefault="00ED0052" w:rsidP="00ED0052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</w:pPr>
            <w:r w:rsidRPr="00CF7D9E">
              <w:t xml:space="preserve">або </w:t>
            </w:r>
            <w:r w:rsidRPr="00CF7D9E">
              <w:rPr>
                <w:bCs/>
              </w:rPr>
              <w:t>безпосередньо у відділ кадрової роботи та державної служби</w:t>
            </w:r>
            <w:r w:rsidRPr="00CF7D9E">
              <w:t xml:space="preserve"> Львівської обласної прокуратури за адресою: </w:t>
            </w:r>
            <w:r w:rsidRPr="00CF7D9E">
              <w:rPr>
                <w:b/>
                <w:bCs/>
              </w:rPr>
              <w:t>проспект Шевченка 17-19, м. Львів</w:t>
            </w:r>
          </w:p>
        </w:tc>
      </w:tr>
      <w:tr w:rsidR="005A1235" w:rsidRPr="00314D12" w14:paraId="136B3E4D" w14:textId="77777777" w:rsidTr="00593F61">
        <w:trPr>
          <w:trHeight w:val="1294"/>
        </w:trPr>
        <w:tc>
          <w:tcPr>
            <w:tcW w:w="43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A2716CA" w14:textId="77777777" w:rsidR="005A1235" w:rsidRPr="00FD4558" w:rsidRDefault="005A1235" w:rsidP="005A12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58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добору персоналу</w:t>
            </w:r>
          </w:p>
        </w:tc>
        <w:tc>
          <w:tcPr>
            <w:tcW w:w="5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8A23B0B" w14:textId="77777777" w:rsidR="00ED0052" w:rsidRDefault="00ED0052" w:rsidP="00ED0052">
            <w:pPr>
              <w:pStyle w:val="a5"/>
              <w:spacing w:before="0" w:beforeAutospacing="0" w:after="0" w:afterAutospacing="0"/>
              <w:ind w:left="147"/>
              <w:jc w:val="both"/>
              <w:rPr>
                <w:lang w:val="uk-UA"/>
              </w:rPr>
            </w:pPr>
            <w:r>
              <w:rPr>
                <w:lang w:val="uk-UA"/>
              </w:rPr>
              <w:t>Бойко Ольга Володимирівна</w:t>
            </w:r>
          </w:p>
          <w:p w14:paraId="12BFF1FC" w14:textId="77777777" w:rsidR="00ED0052" w:rsidRPr="00407B2C" w:rsidRDefault="00ED0052" w:rsidP="00ED0052">
            <w:pPr>
              <w:pStyle w:val="a5"/>
              <w:spacing w:before="0" w:beforeAutospacing="0" w:after="0" w:afterAutospacing="0"/>
              <w:ind w:left="147"/>
              <w:jc w:val="both"/>
              <w:rPr>
                <w:lang w:val="uk-UA"/>
              </w:rPr>
            </w:pPr>
          </w:p>
          <w:p w14:paraId="68B313FB" w14:textId="77777777" w:rsidR="00ED0052" w:rsidRPr="0035670A" w:rsidRDefault="00ED0052" w:rsidP="00ED005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(032) </w:t>
            </w:r>
            <w:r w:rsidRPr="003567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235-83-55 </w:t>
            </w:r>
          </w:p>
          <w:p w14:paraId="3912704E" w14:textId="77777777" w:rsidR="005A1235" w:rsidRPr="00314D12" w:rsidRDefault="00A854A1" w:rsidP="00ED0052">
            <w:pPr>
              <w:spacing w:before="150" w:after="15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ED0052" w:rsidRPr="006A4D5B">
                <w:rPr>
                  <w:rStyle w:val="a3"/>
                  <w:rFonts w:ascii="Times New Roman" w:hAnsi="Times New Roman" w:cs="Times New Roman"/>
                  <w:b/>
                </w:rPr>
                <w:t>kadry_sp@oblprok.lviv.ua</w:t>
              </w:r>
            </w:hyperlink>
            <w:r w:rsidR="00066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1235" w:rsidRPr="00314D12" w14:paraId="38AC3331" w14:textId="77777777" w:rsidTr="006038A3">
        <w:tc>
          <w:tcPr>
            <w:tcW w:w="10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441BAE9" w14:textId="77777777" w:rsidR="005A1235" w:rsidRPr="00314D12" w:rsidRDefault="005A1235" w:rsidP="005A12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</w:p>
        </w:tc>
      </w:tr>
      <w:tr w:rsidR="005A1235" w:rsidRPr="00314D12" w14:paraId="37668F23" w14:textId="77777777" w:rsidTr="00593F61">
        <w:tc>
          <w:tcPr>
            <w:tcW w:w="11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134C1A2" w14:textId="77777777" w:rsidR="005A1235" w:rsidRPr="00314D12" w:rsidRDefault="005A1235" w:rsidP="005A12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F52DBC" w14:textId="77777777" w:rsidR="005A1235" w:rsidRPr="00314D12" w:rsidRDefault="005A1235" w:rsidP="005A12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BE83C86" w14:textId="77777777" w:rsidR="005A1235" w:rsidRPr="00D6636B" w:rsidRDefault="00D6636B" w:rsidP="00D6636B">
            <w:pPr>
              <w:tabs>
                <w:tab w:val="left" w:pos="480"/>
              </w:tabs>
              <w:spacing w:line="240" w:lineRule="auto"/>
              <w:ind w:left="17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B">
              <w:rPr>
                <w:rFonts w:ascii="Times New Roman" w:hAnsi="Times New Roman" w:cs="Times New Roman"/>
                <w:sz w:val="24"/>
                <w:szCs w:val="24"/>
              </w:rPr>
              <w:t xml:space="preserve">вища освіта не нижче ступеня </w:t>
            </w:r>
            <w:r w:rsidRPr="00D66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магістра</w:t>
            </w:r>
          </w:p>
        </w:tc>
      </w:tr>
      <w:tr w:rsidR="005A1235" w:rsidRPr="00314D12" w14:paraId="4119CF16" w14:textId="77777777" w:rsidTr="00593F61">
        <w:trPr>
          <w:trHeight w:val="1894"/>
        </w:trPr>
        <w:tc>
          <w:tcPr>
            <w:tcW w:w="11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48DFCDD" w14:textId="77777777" w:rsidR="005A1235" w:rsidRPr="00314D12" w:rsidRDefault="005A1235" w:rsidP="005A12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62AB19C" w14:textId="77777777" w:rsidR="005A1235" w:rsidRPr="00314D12" w:rsidRDefault="005A1235" w:rsidP="005A12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EEC62F2" w14:textId="77777777" w:rsidR="00D6636B" w:rsidRPr="00D6636B" w:rsidRDefault="00D6636B" w:rsidP="00D6636B">
            <w:pPr>
              <w:spacing w:line="240" w:lineRule="auto"/>
              <w:ind w:left="177" w:right="1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6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досвід роботи на посадах державної служби  </w:t>
            </w:r>
            <w:hyperlink r:id="rId11" w:anchor="n86" w:history="1">
              <w:r w:rsidRPr="00D663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категорій "Б"</w:t>
              </w:r>
            </w:hyperlink>
            <w:r w:rsidRPr="00D66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чи </w:t>
            </w:r>
            <w:hyperlink r:id="rId12" w:anchor="n92" w:history="1">
              <w:r w:rsidRPr="00D663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"В"</w:t>
              </w:r>
            </w:hyperlink>
            <w:r w:rsidRPr="00D66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 </w:t>
            </w:r>
          </w:p>
          <w:p w14:paraId="3D9CBD60" w14:textId="77777777" w:rsidR="005A1235" w:rsidRPr="00D6636B" w:rsidRDefault="005A1235" w:rsidP="00D6636B">
            <w:pPr>
              <w:spacing w:line="240" w:lineRule="auto"/>
              <w:ind w:left="17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235" w:rsidRPr="00314D12" w14:paraId="1A8768D1" w14:textId="77777777" w:rsidTr="00593F61">
        <w:trPr>
          <w:trHeight w:val="690"/>
        </w:trPr>
        <w:tc>
          <w:tcPr>
            <w:tcW w:w="11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62A5636" w14:textId="77777777" w:rsidR="005A1235" w:rsidRPr="00314D12" w:rsidRDefault="005A1235" w:rsidP="005A12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13A1993" w14:textId="77777777" w:rsidR="005A1235" w:rsidRPr="00314D12" w:rsidRDefault="005A1235" w:rsidP="005A12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CF412F0" w14:textId="77777777" w:rsidR="005A1235" w:rsidRPr="00314D12" w:rsidRDefault="005A1235" w:rsidP="005A1235">
            <w:pPr>
              <w:spacing w:before="150" w:after="150" w:line="240" w:lineRule="auto"/>
              <w:ind w:left="147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5A1235" w14:paraId="68244C40" w14:textId="77777777" w:rsidTr="006038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0078" w:type="dxa"/>
            <w:gridSpan w:val="4"/>
            <w:shd w:val="clear" w:color="auto" w:fill="auto"/>
            <w:hideMark/>
          </w:tcPr>
          <w:p w14:paraId="57CCD56B" w14:textId="77777777" w:rsidR="005A1235" w:rsidRDefault="005A1235" w:rsidP="005A1235">
            <w:pPr>
              <w:pStyle w:val="rvps12"/>
              <w:spacing w:before="150" w:beforeAutospacing="0" w:after="150" w:afterAutospacing="0"/>
              <w:jc w:val="center"/>
            </w:pPr>
            <w:r>
              <w:t>Вимоги до компетентності</w:t>
            </w:r>
          </w:p>
        </w:tc>
      </w:tr>
      <w:tr w:rsidR="005A1235" w14:paraId="02C67546" w14:textId="77777777" w:rsidTr="00A854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396" w:type="dxa"/>
            <w:gridSpan w:val="3"/>
            <w:shd w:val="clear" w:color="auto" w:fill="auto"/>
            <w:hideMark/>
          </w:tcPr>
          <w:p w14:paraId="538E200C" w14:textId="77777777" w:rsidR="005A1235" w:rsidRDefault="005A1235" w:rsidP="005A1235">
            <w:pPr>
              <w:pStyle w:val="rvps12"/>
              <w:spacing w:before="150" w:beforeAutospacing="0" w:after="150" w:afterAutospacing="0"/>
              <w:jc w:val="center"/>
            </w:pPr>
            <w:r>
              <w:lastRenderedPageBreak/>
              <w:t>Вимога</w:t>
            </w:r>
          </w:p>
        </w:tc>
        <w:tc>
          <w:tcPr>
            <w:tcW w:w="5682" w:type="dxa"/>
            <w:shd w:val="clear" w:color="auto" w:fill="auto"/>
            <w:hideMark/>
          </w:tcPr>
          <w:p w14:paraId="0E703C50" w14:textId="77777777" w:rsidR="005A1235" w:rsidRDefault="005A1235" w:rsidP="005A1235">
            <w:pPr>
              <w:pStyle w:val="rvps12"/>
              <w:spacing w:before="150" w:beforeAutospacing="0" w:after="150" w:afterAutospacing="0"/>
              <w:jc w:val="center"/>
            </w:pPr>
            <w:r>
              <w:t>Компоненти вимоги</w:t>
            </w:r>
          </w:p>
        </w:tc>
      </w:tr>
      <w:tr w:rsidR="005A1235" w:rsidRPr="00085B81" w14:paraId="3598BB78" w14:textId="77777777" w:rsidTr="00A854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178" w:type="dxa"/>
            <w:shd w:val="clear" w:color="auto" w:fill="auto"/>
          </w:tcPr>
          <w:p w14:paraId="128DB85A" w14:textId="77777777" w:rsidR="005A1235" w:rsidRPr="00085B81" w:rsidRDefault="005A1235" w:rsidP="005A1235">
            <w:pPr>
              <w:pStyle w:val="rvps12"/>
              <w:spacing w:before="150" w:beforeAutospacing="0" w:after="150" w:afterAutospacing="0"/>
              <w:jc w:val="center"/>
            </w:pPr>
            <w:r>
              <w:t>1</w:t>
            </w:r>
          </w:p>
        </w:tc>
        <w:tc>
          <w:tcPr>
            <w:tcW w:w="3218" w:type="dxa"/>
            <w:gridSpan w:val="2"/>
          </w:tcPr>
          <w:p w14:paraId="61E617D5" w14:textId="77777777" w:rsidR="005A1235" w:rsidRPr="006038A3" w:rsidRDefault="00803A69" w:rsidP="005A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Впровадження змін</w:t>
            </w:r>
          </w:p>
        </w:tc>
        <w:tc>
          <w:tcPr>
            <w:tcW w:w="5682" w:type="dxa"/>
          </w:tcPr>
          <w:p w14:paraId="532D2DA1" w14:textId="77777777" w:rsidR="00803A69" w:rsidRPr="006038A3" w:rsidRDefault="00803A69" w:rsidP="00803A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орієнтація на реорганізацію для спрощення, підвищення прозорості та ефективності;</w:t>
            </w:r>
          </w:p>
          <w:p w14:paraId="073C5EDF" w14:textId="77777777" w:rsidR="00803A69" w:rsidRPr="006038A3" w:rsidRDefault="00803A69" w:rsidP="00803A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здатність впроваджувати інноваційні рішення, рішучість та орієнтованість на результат;</w:t>
            </w:r>
          </w:p>
          <w:p w14:paraId="32103B46" w14:textId="77777777" w:rsidR="00803A69" w:rsidRPr="006038A3" w:rsidRDefault="00803A69" w:rsidP="00803A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здатність підтримувати зміни та працювати з реакцією на них, спрямованість на залучення зацікавлених сторін;</w:t>
            </w:r>
          </w:p>
          <w:p w14:paraId="33BEB0FD" w14:textId="77777777" w:rsidR="005A1235" w:rsidRPr="006038A3" w:rsidRDefault="00803A69" w:rsidP="00803A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вміння оцінювати ефективність впровадження змін</w:t>
            </w:r>
          </w:p>
        </w:tc>
      </w:tr>
      <w:tr w:rsidR="005A1235" w:rsidRPr="00085B81" w14:paraId="61E1E5E7" w14:textId="77777777" w:rsidTr="00A854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178" w:type="dxa"/>
            <w:shd w:val="clear" w:color="auto" w:fill="auto"/>
          </w:tcPr>
          <w:p w14:paraId="3F5CB11A" w14:textId="77777777" w:rsidR="005A1235" w:rsidRDefault="005A1235" w:rsidP="005A1235">
            <w:pPr>
              <w:pStyle w:val="rvps12"/>
              <w:spacing w:before="150" w:beforeAutospacing="0" w:after="150" w:afterAutospacing="0"/>
              <w:jc w:val="center"/>
            </w:pPr>
            <w:r>
              <w:t>2</w:t>
            </w:r>
          </w:p>
        </w:tc>
        <w:tc>
          <w:tcPr>
            <w:tcW w:w="3218" w:type="dxa"/>
            <w:gridSpan w:val="2"/>
            <w:tcBorders>
              <w:bottom w:val="single" w:sz="6" w:space="0" w:color="000000"/>
            </w:tcBorders>
          </w:tcPr>
          <w:p w14:paraId="6203095C" w14:textId="77777777" w:rsidR="005A1235" w:rsidRPr="005063C8" w:rsidRDefault="005063C8" w:rsidP="005A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з великими масивами інформації</w:t>
            </w:r>
          </w:p>
        </w:tc>
        <w:tc>
          <w:tcPr>
            <w:tcW w:w="5682" w:type="dxa"/>
            <w:tcBorders>
              <w:bottom w:val="single" w:sz="6" w:space="0" w:color="000000"/>
            </w:tcBorders>
          </w:tcPr>
          <w:p w14:paraId="298B033D" w14:textId="77777777" w:rsidR="005A1235" w:rsidRDefault="005063C8" w:rsidP="005A123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встановлювати логічні взаємозв’язки;</w:t>
            </w:r>
          </w:p>
          <w:p w14:paraId="5507F574" w14:textId="77777777" w:rsidR="005063C8" w:rsidRDefault="005063C8" w:rsidP="005A123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систематизувати великий масив інформації;</w:t>
            </w:r>
          </w:p>
          <w:p w14:paraId="2D60491F" w14:textId="77777777" w:rsidR="005063C8" w:rsidRPr="005063C8" w:rsidRDefault="005063C8" w:rsidP="005A123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виділяти головне, робити чіткі, структуровані висновки</w:t>
            </w:r>
          </w:p>
        </w:tc>
      </w:tr>
      <w:tr w:rsidR="005A1235" w:rsidRPr="00085B81" w14:paraId="2E115188" w14:textId="77777777" w:rsidTr="00A854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178" w:type="dxa"/>
            <w:shd w:val="clear" w:color="auto" w:fill="auto"/>
          </w:tcPr>
          <w:p w14:paraId="323DBF3D" w14:textId="77777777" w:rsidR="005A1235" w:rsidRDefault="005A1235" w:rsidP="005A1235">
            <w:pPr>
              <w:pStyle w:val="rvps12"/>
              <w:spacing w:before="150" w:beforeAutospacing="0" w:after="150" w:afterAutospacing="0"/>
              <w:jc w:val="center"/>
            </w:pPr>
            <w:r>
              <w:t>3</w:t>
            </w:r>
          </w:p>
        </w:tc>
        <w:tc>
          <w:tcPr>
            <w:tcW w:w="3218" w:type="dxa"/>
            <w:gridSpan w:val="2"/>
          </w:tcPr>
          <w:p w14:paraId="05DE455B" w14:textId="77777777" w:rsidR="005A1235" w:rsidRPr="006038A3" w:rsidRDefault="00803A69" w:rsidP="005A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Управління організацією роботи</w:t>
            </w:r>
          </w:p>
        </w:tc>
        <w:tc>
          <w:tcPr>
            <w:tcW w:w="5682" w:type="dxa"/>
          </w:tcPr>
          <w:p w14:paraId="3B175E65" w14:textId="77777777" w:rsidR="00803A69" w:rsidRPr="006038A3" w:rsidRDefault="00803A69" w:rsidP="00803A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чітке бачення цілі;</w:t>
            </w:r>
          </w:p>
          <w:p w14:paraId="0A8D1439" w14:textId="77777777" w:rsidR="00803A69" w:rsidRPr="006038A3" w:rsidRDefault="00803A69" w:rsidP="00803A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ефективне управління ресурсами;</w:t>
            </w:r>
          </w:p>
          <w:p w14:paraId="614D85C7" w14:textId="77777777" w:rsidR="00803A69" w:rsidRPr="006038A3" w:rsidRDefault="00803A69" w:rsidP="00803A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чітке планування реалізації;</w:t>
            </w:r>
          </w:p>
          <w:p w14:paraId="76121089" w14:textId="77777777" w:rsidR="002D7E9C" w:rsidRPr="006038A3" w:rsidRDefault="00803A69" w:rsidP="00803A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ефективне формування та управління процесами</w:t>
            </w:r>
          </w:p>
        </w:tc>
      </w:tr>
      <w:tr w:rsidR="006038A3" w:rsidRPr="00085B81" w14:paraId="6BB5A0E9" w14:textId="77777777" w:rsidTr="00A854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621"/>
        </w:trPr>
        <w:tc>
          <w:tcPr>
            <w:tcW w:w="1178" w:type="dxa"/>
            <w:shd w:val="clear" w:color="auto" w:fill="auto"/>
          </w:tcPr>
          <w:p w14:paraId="69718853" w14:textId="77777777" w:rsidR="006038A3" w:rsidRDefault="006038A3" w:rsidP="005A1235">
            <w:pPr>
              <w:pStyle w:val="rvps12"/>
              <w:spacing w:before="150" w:beforeAutospacing="0" w:after="150" w:afterAutospacing="0"/>
              <w:jc w:val="center"/>
            </w:pPr>
            <w:r>
              <w:t>4</w:t>
            </w:r>
          </w:p>
        </w:tc>
        <w:tc>
          <w:tcPr>
            <w:tcW w:w="3218" w:type="dxa"/>
            <w:gridSpan w:val="2"/>
          </w:tcPr>
          <w:p w14:paraId="4387C1A7" w14:textId="77777777" w:rsidR="006038A3" w:rsidRPr="007550B6" w:rsidRDefault="006038A3" w:rsidP="005A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5682" w:type="dxa"/>
          </w:tcPr>
          <w:p w14:paraId="4A1CF3EA" w14:textId="77777777" w:rsidR="006038A3" w:rsidRDefault="006038A3" w:rsidP="00FE3864">
            <w:pPr>
              <w:pStyle w:val="a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  <w:tab w:val="left" w:pos="572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53C64674" w14:textId="77777777" w:rsidR="006038A3" w:rsidRDefault="006038A3" w:rsidP="00FE3864">
            <w:pPr>
              <w:pStyle w:val="a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  <w:tab w:val="left" w:pos="572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78899FF0" w14:textId="77777777" w:rsidR="006038A3" w:rsidRDefault="006038A3" w:rsidP="00FE3864">
            <w:pPr>
              <w:pStyle w:val="a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  <w:tab w:val="left" w:pos="572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здатність працювати з документами в різних цифрових форматах, зберігати накопичувати, впорядковувати архівувати цифрові ресурси та дані різних типів;</w:t>
            </w:r>
          </w:p>
          <w:p w14:paraId="52C9A52F" w14:textId="77777777" w:rsidR="006038A3" w:rsidRDefault="006038A3" w:rsidP="00FE3864">
            <w:pPr>
              <w:pStyle w:val="a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  <w:tab w:val="left" w:pos="572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здатність уникати небезпек в цифровому середовищ, захищати особисті та конфіденційні дані;</w:t>
            </w:r>
          </w:p>
          <w:p w14:paraId="1CD2E49A" w14:textId="77777777" w:rsidR="006038A3" w:rsidRDefault="006038A3" w:rsidP="00FE3864">
            <w:pPr>
              <w:pStyle w:val="a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  <w:tab w:val="left" w:pos="572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обов’язків,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6198AA54" w14:textId="77777777" w:rsidR="006038A3" w:rsidRDefault="00553DC5" w:rsidP="00553DC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7"/>
              </w:tabs>
              <w:spacing w:after="0" w:line="240" w:lineRule="auto"/>
              <w:ind w:left="437" w:right="27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038A3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відкриті цифрові ресурси для власного професійного розвитку.</w:t>
            </w:r>
          </w:p>
          <w:p w14:paraId="38CB562C" w14:textId="77777777" w:rsidR="00553DC5" w:rsidRPr="007550B6" w:rsidRDefault="00553DC5" w:rsidP="00553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7"/>
              </w:tabs>
              <w:spacing w:after="0" w:line="240" w:lineRule="auto"/>
              <w:ind w:left="153"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8A3" w:rsidRPr="00085B81" w14:paraId="64D08DEC" w14:textId="77777777" w:rsidTr="00A854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178" w:type="dxa"/>
            <w:shd w:val="clear" w:color="auto" w:fill="auto"/>
          </w:tcPr>
          <w:p w14:paraId="31EAFD10" w14:textId="77777777" w:rsidR="006038A3" w:rsidRDefault="006038A3" w:rsidP="005A1235">
            <w:pPr>
              <w:pStyle w:val="rvps12"/>
              <w:spacing w:before="150" w:beforeAutospacing="0" w:after="150" w:afterAutospacing="0"/>
              <w:jc w:val="center"/>
            </w:pPr>
            <w:r>
              <w:t>5</w:t>
            </w:r>
          </w:p>
        </w:tc>
        <w:tc>
          <w:tcPr>
            <w:tcW w:w="3218" w:type="dxa"/>
            <w:gridSpan w:val="2"/>
          </w:tcPr>
          <w:p w14:paraId="1EFB1061" w14:textId="77777777" w:rsidR="006038A3" w:rsidRPr="00FE3864" w:rsidRDefault="006038A3" w:rsidP="005A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Прийняття ефективних рішень</w:t>
            </w:r>
            <w:bookmarkStart w:id="5" w:name="_GoBack"/>
            <w:bookmarkEnd w:id="5"/>
          </w:p>
        </w:tc>
        <w:tc>
          <w:tcPr>
            <w:tcW w:w="5682" w:type="dxa"/>
          </w:tcPr>
          <w:p w14:paraId="20B00A3E" w14:textId="77777777" w:rsidR="006038A3" w:rsidRPr="006038A3" w:rsidRDefault="006038A3" w:rsidP="006038A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"/>
                <w:tab w:val="left" w:pos="406"/>
                <w:tab w:val="left" w:pos="572"/>
                <w:tab w:val="left" w:pos="1560"/>
                <w:tab w:val="left" w:pos="3244"/>
                <w:tab w:val="left" w:pos="4180"/>
                <w:tab w:val="left" w:pos="482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здатність приймати вчасні та виважені рішення;</w:t>
            </w:r>
          </w:p>
          <w:p w14:paraId="1C85BE6C" w14:textId="77777777" w:rsidR="006038A3" w:rsidRPr="006038A3" w:rsidRDefault="006038A3" w:rsidP="006038A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"/>
                <w:tab w:val="left" w:pos="406"/>
                <w:tab w:val="left" w:pos="572"/>
                <w:tab w:val="left" w:pos="1560"/>
                <w:tab w:val="left" w:pos="3244"/>
                <w:tab w:val="left" w:pos="4180"/>
                <w:tab w:val="left" w:pos="482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аналіз альтернатив;</w:t>
            </w:r>
          </w:p>
          <w:p w14:paraId="51E6FD2A" w14:textId="77777777" w:rsidR="006038A3" w:rsidRPr="006038A3" w:rsidRDefault="006038A3" w:rsidP="006038A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"/>
                <w:tab w:val="left" w:pos="406"/>
                <w:tab w:val="left" w:pos="572"/>
                <w:tab w:val="left" w:pos="1560"/>
                <w:tab w:val="left" w:pos="3244"/>
                <w:tab w:val="left" w:pos="4180"/>
                <w:tab w:val="left" w:pos="482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спроможність іти на виважений ризик;</w:t>
            </w:r>
          </w:p>
          <w:p w14:paraId="258B1C7C" w14:textId="77777777" w:rsidR="006038A3" w:rsidRPr="00FE3864" w:rsidRDefault="006038A3" w:rsidP="00FE3864">
            <w:pPr>
              <w:pStyle w:val="a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  <w:tab w:val="left" w:pos="572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автономність та ініціативність щодо пропозицій і </w:t>
            </w:r>
            <w:r w:rsidRPr="00603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рішень.</w:t>
            </w:r>
          </w:p>
        </w:tc>
      </w:tr>
      <w:tr w:rsidR="00FB4D4D" w:rsidRPr="00085B81" w14:paraId="560504EE" w14:textId="77777777" w:rsidTr="004547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0078" w:type="dxa"/>
            <w:gridSpan w:val="4"/>
            <w:shd w:val="clear" w:color="auto" w:fill="auto"/>
          </w:tcPr>
          <w:tbl>
            <w:tblPr>
              <w:tblW w:w="4996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3402"/>
              <w:gridCol w:w="5812"/>
            </w:tblGrid>
            <w:tr w:rsidR="00FB4D4D" w:rsidRPr="00085B81" w14:paraId="78BF3104" w14:textId="77777777" w:rsidTr="00D3464D">
              <w:trPr>
                <w:trHeight w:val="478"/>
              </w:trPr>
              <w:tc>
                <w:tcPr>
                  <w:tcW w:w="10062" w:type="dxa"/>
                  <w:gridSpan w:val="3"/>
                  <w:tcBorders>
                    <w:right w:val="nil"/>
                  </w:tcBorders>
                  <w:shd w:val="clear" w:color="auto" w:fill="auto"/>
                  <w:hideMark/>
                </w:tcPr>
                <w:p w14:paraId="2FE17E83" w14:textId="77777777" w:rsidR="00FB4D4D" w:rsidRPr="00085B81" w:rsidRDefault="00FB4D4D" w:rsidP="00FB4D4D">
                  <w:pPr>
                    <w:pStyle w:val="rvps12"/>
                    <w:spacing w:before="150" w:beforeAutospacing="0" w:after="150" w:afterAutospacing="0"/>
                    <w:jc w:val="center"/>
                  </w:pPr>
                  <w:r w:rsidRPr="00085B81">
                    <w:lastRenderedPageBreak/>
                    <w:t>Професійні знання</w:t>
                  </w:r>
                </w:p>
              </w:tc>
            </w:tr>
            <w:tr w:rsidR="00FB4D4D" w:rsidRPr="00085B81" w14:paraId="606BB636" w14:textId="77777777" w:rsidTr="00593F61">
              <w:trPr>
                <w:trHeight w:val="189"/>
              </w:trPr>
              <w:tc>
                <w:tcPr>
                  <w:tcW w:w="4250" w:type="dxa"/>
                  <w:gridSpan w:val="2"/>
                  <w:shd w:val="clear" w:color="auto" w:fill="auto"/>
                  <w:hideMark/>
                </w:tcPr>
                <w:p w14:paraId="59C866F4" w14:textId="77777777" w:rsidR="00FB4D4D" w:rsidRPr="00085B81" w:rsidRDefault="00FB4D4D" w:rsidP="00FB4D4D">
                  <w:pPr>
                    <w:pStyle w:val="rvps12"/>
                    <w:spacing w:before="150" w:beforeAutospacing="0" w:after="150" w:afterAutospacing="0"/>
                    <w:jc w:val="center"/>
                  </w:pPr>
                  <w:r w:rsidRPr="00085B81">
                    <w:t>Вимога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8228C42" w14:textId="77777777" w:rsidR="00FB4D4D" w:rsidRPr="00085B81" w:rsidRDefault="00FB4D4D" w:rsidP="00FB4D4D">
                  <w:pPr>
                    <w:pStyle w:val="rvps12"/>
                    <w:spacing w:before="150" w:beforeAutospacing="0" w:after="150" w:afterAutospacing="0"/>
                    <w:jc w:val="center"/>
                  </w:pPr>
                  <w:r w:rsidRPr="00085B81">
                    <w:t>Компоненти вимоги</w:t>
                  </w:r>
                </w:p>
              </w:tc>
            </w:tr>
            <w:tr w:rsidR="00FB4D4D" w:rsidRPr="00085B81" w14:paraId="7FA393C5" w14:textId="77777777" w:rsidTr="00593F61">
              <w:trPr>
                <w:trHeight w:val="1161"/>
              </w:trPr>
              <w:tc>
                <w:tcPr>
                  <w:tcW w:w="848" w:type="dxa"/>
                  <w:shd w:val="clear" w:color="auto" w:fill="auto"/>
                </w:tcPr>
                <w:p w14:paraId="1F3A27BC" w14:textId="77777777" w:rsidR="00FB4D4D" w:rsidRPr="00085B81" w:rsidRDefault="00FB4D4D" w:rsidP="00FB4D4D">
                  <w:pPr>
                    <w:pStyle w:val="rvps12"/>
                    <w:spacing w:before="150" w:beforeAutospacing="0" w:after="150" w:afterAutospacing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15132347" w14:textId="77777777" w:rsidR="00FB4D4D" w:rsidRPr="0081311A" w:rsidRDefault="00FB4D4D" w:rsidP="00FB4D4D">
                  <w:pPr>
                    <w:pStyle w:val="rvps14"/>
                    <w:spacing w:before="0" w:beforeAutospacing="0" w:after="150" w:afterAutospacing="0"/>
                  </w:pPr>
                  <w:r w:rsidRPr="0081311A">
                    <w:t>Знання законодавства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</w:tcPr>
                <w:p w14:paraId="1A3D1551" w14:textId="77777777" w:rsidR="00CB2F3A" w:rsidRDefault="00FB4D4D" w:rsidP="00CB2F3A">
                  <w:pPr>
                    <w:pStyle w:val="rvps14"/>
                    <w:spacing w:before="0" w:beforeAutospacing="0" w:after="0" w:afterAutospacing="0"/>
                    <w:ind w:left="163"/>
                  </w:pPr>
                  <w:r w:rsidRPr="0081311A">
                    <w:t>Знання:</w:t>
                  </w:r>
                  <w:r w:rsidRPr="0081311A">
                    <w:br/>
                  </w:r>
                  <w:hyperlink r:id="rId13" w:tgtFrame="_blank" w:history="1">
                    <w:r w:rsidRPr="0081311A">
                      <w:rPr>
                        <w:rStyle w:val="a3"/>
                        <w:color w:val="auto"/>
                      </w:rPr>
                      <w:t>Конституції України</w:t>
                    </w:r>
                  </w:hyperlink>
                  <w:r w:rsidRPr="0081311A">
                    <w:t>;</w:t>
                  </w:r>
                  <w:r w:rsidRPr="0081311A">
                    <w:br/>
                  </w:r>
                  <w:hyperlink r:id="rId14" w:tgtFrame="_blank" w:history="1">
                    <w:r w:rsidR="00CB2F3A" w:rsidRPr="0081311A">
                      <w:rPr>
                        <w:rStyle w:val="a3"/>
                        <w:color w:val="auto"/>
                      </w:rPr>
                      <w:t>Закону України</w:t>
                    </w:r>
                  </w:hyperlink>
                  <w:r w:rsidR="00CB2F3A" w:rsidRPr="0081311A">
                    <w:t xml:space="preserve"> “Про </w:t>
                  </w:r>
                  <w:r w:rsidR="00CB2F3A">
                    <w:t>прокуратуру</w:t>
                  </w:r>
                  <w:r w:rsidR="00CB2F3A" w:rsidRPr="0081311A">
                    <w:t>”;</w:t>
                  </w:r>
                </w:p>
                <w:p w14:paraId="34677295" w14:textId="77777777" w:rsidR="00FB4D4D" w:rsidRPr="0081311A" w:rsidRDefault="00A854A1" w:rsidP="00CB2F3A">
                  <w:pPr>
                    <w:pStyle w:val="rvps14"/>
                    <w:spacing w:before="0" w:beforeAutospacing="0" w:after="0" w:afterAutospacing="0"/>
                    <w:ind w:left="163"/>
                  </w:pPr>
                  <w:hyperlink r:id="rId15" w:tgtFrame="_blank" w:history="1">
                    <w:r w:rsidR="00FB4D4D" w:rsidRPr="0081311A">
                      <w:rPr>
                        <w:rStyle w:val="a3"/>
                        <w:color w:val="auto"/>
                      </w:rPr>
                      <w:t>Закону України</w:t>
                    </w:r>
                  </w:hyperlink>
                  <w:r w:rsidR="00FB4D4D" w:rsidRPr="0081311A">
                    <w:t> “Про державну службу”;</w:t>
                  </w:r>
                  <w:r w:rsidR="00FB4D4D" w:rsidRPr="0081311A">
                    <w:br/>
                  </w:r>
                  <w:hyperlink r:id="rId16" w:tgtFrame="_blank" w:history="1">
                    <w:r w:rsidR="00FB4D4D" w:rsidRPr="0081311A">
                      <w:rPr>
                        <w:rStyle w:val="a3"/>
                        <w:color w:val="auto"/>
                      </w:rPr>
                      <w:t>Закону України</w:t>
                    </w:r>
                  </w:hyperlink>
                  <w:r w:rsidR="00FB4D4D" w:rsidRPr="0081311A">
                    <w:t> “Про запобігання корупції” та іншого законодавства</w:t>
                  </w:r>
                </w:p>
              </w:tc>
            </w:tr>
            <w:tr w:rsidR="00FB4D4D" w:rsidRPr="00085B81" w14:paraId="16E4DB1E" w14:textId="77777777" w:rsidTr="00593F61">
              <w:trPr>
                <w:trHeight w:val="9247"/>
              </w:trPr>
              <w:tc>
                <w:tcPr>
                  <w:tcW w:w="848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168DE02" w14:textId="77777777" w:rsidR="00FB4D4D" w:rsidRPr="00085B81" w:rsidRDefault="00FB4D4D" w:rsidP="00FB4D4D">
                  <w:pPr>
                    <w:pStyle w:val="rvps12"/>
                    <w:spacing w:before="150" w:beforeAutospacing="0" w:after="150" w:afterAutospacing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F19CCDD" w14:textId="77777777" w:rsidR="00FB4D4D" w:rsidRPr="0081311A" w:rsidRDefault="00FB4D4D" w:rsidP="00FB4D4D">
                  <w:pPr>
                    <w:pStyle w:val="rvps14"/>
                    <w:spacing w:before="150" w:beforeAutospacing="0" w:after="150" w:afterAutospacing="0"/>
                  </w:pPr>
                  <w:r w:rsidRPr="0081311A">
                    <w:t>Знання законодавства у сфері</w:t>
                  </w:r>
                </w:p>
              </w:tc>
              <w:tc>
                <w:tcPr>
                  <w:tcW w:w="5812" w:type="dxa"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BD527D4" w14:textId="77777777" w:rsidR="00FB4D4D" w:rsidRPr="008B3914" w:rsidRDefault="00FB4D4D" w:rsidP="00CB2F3A">
                  <w:pPr>
                    <w:pStyle w:val="a5"/>
                    <w:spacing w:before="0" w:beforeAutospacing="0" w:after="0" w:afterAutospacing="0"/>
                    <w:ind w:left="163" w:right="142"/>
                    <w:jc w:val="both"/>
                    <w:rPr>
                      <w:lang w:val="uk-UA"/>
                    </w:rPr>
                  </w:pPr>
                  <w:r w:rsidRPr="008B3914">
                    <w:rPr>
                      <w:lang w:val="uk-UA"/>
                    </w:rPr>
                    <w:t xml:space="preserve">- Закон України </w:t>
                  </w:r>
                  <w:r w:rsidR="00194715">
                    <w:rPr>
                      <w:lang w:val="uk-UA"/>
                    </w:rPr>
                    <w:t>«Про захист персональних даних»;</w:t>
                  </w:r>
                </w:p>
                <w:p w14:paraId="4B65DF6F" w14:textId="77777777" w:rsidR="00FB4D4D" w:rsidRPr="008B3914" w:rsidRDefault="00FB4D4D" w:rsidP="00CB2F3A">
                  <w:pPr>
                    <w:pStyle w:val="a5"/>
                    <w:spacing w:before="0" w:beforeAutospacing="0" w:after="0" w:afterAutospacing="0"/>
                    <w:ind w:left="163" w:right="142"/>
                    <w:jc w:val="both"/>
                    <w:rPr>
                      <w:lang w:val="uk-UA"/>
                    </w:rPr>
                  </w:pPr>
                  <w:r w:rsidRPr="008B3914">
                    <w:rPr>
                      <w:lang w:val="uk-UA"/>
                    </w:rPr>
                    <w:t>-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в органах прокуратури України , затверджену наказом Генеральної прокуратури України від 13.12.2017 № 349.</w:t>
                  </w:r>
                </w:p>
                <w:p w14:paraId="1E3982FD" w14:textId="77777777" w:rsidR="00FB4D4D" w:rsidRDefault="00FB4D4D" w:rsidP="00CB2F3A">
                  <w:pPr>
                    <w:spacing w:after="0"/>
                    <w:ind w:left="163" w:right="142"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26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Тимчасова інструкція з діловодства в органах прокуратури України, затверджену наказом Генеральної прок</w:t>
                  </w:r>
                  <w:r w:rsidR="00CB2F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уратури України від 12.02.2019 № 27;</w:t>
                  </w:r>
                </w:p>
                <w:p w14:paraId="1F62D956" w14:textId="77777777" w:rsidR="00CB2F3A" w:rsidRDefault="00CB2F3A" w:rsidP="00CB2F3A">
                  <w:pPr>
                    <w:spacing w:after="0"/>
                    <w:ind w:left="163" w:right="142"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Положення про Єдиний реєстр досудових розслідувань, порядок його формування та ведення, затверджене наказом Генеральної прокуратури України від 30.06.2020 №298;</w:t>
                  </w:r>
                </w:p>
                <w:p w14:paraId="2E387F47" w14:textId="1A5E7A75" w:rsidR="00CB2F3A" w:rsidRDefault="00CB2F3A" w:rsidP="00CB2F3A">
                  <w:pPr>
                    <w:spacing w:after="0"/>
                    <w:ind w:left="163" w:right="142"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Порядок надсилання інформації про осіб у кримінальних провадженнях та електронних копій судових рішень щодо осіб, які вчинили кримінальні правопорушення, затверджений наказом Генеральної прокуратури України та Державної судової адміністрації України від </w:t>
                  </w:r>
                  <w:r w:rsidR="00CC28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  <w:r w:rsidR="00CC28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</w:t>
                  </w:r>
                  <w:r w:rsidR="00CC28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</w:t>
                  </w:r>
                  <w:r w:rsidR="00CC28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="00CC28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487781C3" w14:textId="77777777" w:rsidR="00CB2F3A" w:rsidRDefault="00CB2F3A" w:rsidP="00CB2F3A">
                  <w:pPr>
                    <w:spacing w:after="0"/>
                    <w:ind w:left="163" w:right="142"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Порядок електронної інформаційної взаємодії Офісу Генерального прокурора та Міністерства внутрішніх справ України, затверджений наказом Офісу Генерального пр</w:t>
                  </w:r>
                  <w:r w:rsidR="00FB04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окурора від 22.11.2021 №371/846;</w:t>
                  </w:r>
                </w:p>
                <w:p w14:paraId="2BB9EDCF" w14:textId="5D0F81A3" w:rsidR="00FB0445" w:rsidRPr="00E22697" w:rsidRDefault="00FB0445" w:rsidP="00593F61">
                  <w:pPr>
                    <w:spacing w:after="0"/>
                    <w:ind w:left="163" w:right="142"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Наказ Офісу Генерального прокурора від 17.03.2021 №69 «Про </w:t>
                  </w:r>
                  <w:r w:rsidRPr="00FB044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організацію діяльності органів прокуратури з питань ведення Єдиного реєстру досудових розслідувань, статистики та її аналізу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»</w:t>
                  </w:r>
                  <w:r w:rsidR="00593F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</w:tbl>
          <w:p w14:paraId="64B6DB39" w14:textId="77777777" w:rsidR="00FB4D4D" w:rsidRPr="00D3464D" w:rsidRDefault="00FB4D4D" w:rsidP="00D3464D">
            <w:pPr>
              <w:rPr>
                <w:sz w:val="2"/>
                <w:szCs w:val="2"/>
              </w:rPr>
            </w:pPr>
          </w:p>
        </w:tc>
      </w:tr>
    </w:tbl>
    <w:p w14:paraId="199AF588" w14:textId="77777777" w:rsidR="00624C67" w:rsidRDefault="00624C67" w:rsidP="00624C67">
      <w:pPr>
        <w:rPr>
          <w:sz w:val="2"/>
          <w:szCs w:val="2"/>
        </w:rPr>
      </w:pPr>
    </w:p>
    <w:p w14:paraId="319FA59A" w14:textId="569D85E9" w:rsidR="00EA2E7D" w:rsidRDefault="00EA2E7D" w:rsidP="00624C67">
      <w:pPr>
        <w:rPr>
          <w:sz w:val="2"/>
          <w:szCs w:val="2"/>
        </w:rPr>
      </w:pPr>
    </w:p>
    <w:p w14:paraId="54A0DFE8" w14:textId="77777777" w:rsidR="00EA2E7D" w:rsidRDefault="00EA2E7D" w:rsidP="00624C67">
      <w:pPr>
        <w:rPr>
          <w:sz w:val="2"/>
          <w:szCs w:val="2"/>
        </w:rPr>
      </w:pPr>
    </w:p>
    <w:p w14:paraId="3ABAB4C1" w14:textId="77777777" w:rsidR="00EA2E7D" w:rsidRDefault="00EA2E7D" w:rsidP="00624C67">
      <w:pPr>
        <w:rPr>
          <w:sz w:val="2"/>
          <w:szCs w:val="2"/>
        </w:rPr>
      </w:pPr>
    </w:p>
    <w:p w14:paraId="27B5120D" w14:textId="77777777" w:rsidR="00EA2E7D" w:rsidRPr="00EA2E7D" w:rsidRDefault="00EA2E7D" w:rsidP="00EA2E7D">
      <w:pPr>
        <w:rPr>
          <w:sz w:val="2"/>
          <w:szCs w:val="2"/>
        </w:rPr>
      </w:pPr>
    </w:p>
    <w:p w14:paraId="68825091" w14:textId="77777777" w:rsidR="00EA2E7D" w:rsidRPr="00EA2E7D" w:rsidRDefault="00EA2E7D" w:rsidP="00EA2E7D">
      <w:pPr>
        <w:rPr>
          <w:sz w:val="2"/>
          <w:szCs w:val="2"/>
        </w:rPr>
      </w:pPr>
    </w:p>
    <w:p w14:paraId="6A59AE54" w14:textId="77777777" w:rsidR="00EA2E7D" w:rsidRPr="00EA2E7D" w:rsidRDefault="00EA2E7D" w:rsidP="00EA2E7D">
      <w:pPr>
        <w:rPr>
          <w:sz w:val="2"/>
          <w:szCs w:val="2"/>
        </w:rPr>
      </w:pPr>
    </w:p>
    <w:p w14:paraId="0D81BCB0" w14:textId="77777777" w:rsidR="00EA2E7D" w:rsidRPr="00EA2E7D" w:rsidRDefault="00EA2E7D" w:rsidP="00EA2E7D">
      <w:pPr>
        <w:rPr>
          <w:sz w:val="2"/>
          <w:szCs w:val="2"/>
        </w:rPr>
      </w:pPr>
    </w:p>
    <w:p w14:paraId="45305C31" w14:textId="77777777" w:rsidR="00EA2E7D" w:rsidRPr="00EA2E7D" w:rsidRDefault="00EA2E7D" w:rsidP="00EA2E7D">
      <w:pPr>
        <w:rPr>
          <w:sz w:val="2"/>
          <w:szCs w:val="2"/>
        </w:rPr>
      </w:pPr>
    </w:p>
    <w:p w14:paraId="6B4D9CBD" w14:textId="77777777" w:rsidR="00EA2E7D" w:rsidRPr="00EA2E7D" w:rsidRDefault="00EA2E7D" w:rsidP="00EA2E7D">
      <w:pPr>
        <w:rPr>
          <w:sz w:val="2"/>
          <w:szCs w:val="2"/>
        </w:rPr>
      </w:pPr>
    </w:p>
    <w:p w14:paraId="1B82EFCE" w14:textId="77777777" w:rsidR="00EA2E7D" w:rsidRPr="00EA2E7D" w:rsidRDefault="00EA2E7D" w:rsidP="00EA2E7D">
      <w:pPr>
        <w:rPr>
          <w:sz w:val="2"/>
          <w:szCs w:val="2"/>
        </w:rPr>
      </w:pPr>
    </w:p>
    <w:p w14:paraId="0936701B" w14:textId="77777777" w:rsidR="00EA2E7D" w:rsidRPr="00EA2E7D" w:rsidRDefault="00EA2E7D" w:rsidP="00EA2E7D">
      <w:pPr>
        <w:tabs>
          <w:tab w:val="left" w:pos="603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EA2E7D" w:rsidRPr="00EA2E7D" w:rsidSect="00593F6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12F6475"/>
    <w:multiLevelType w:val="hybridMultilevel"/>
    <w:tmpl w:val="45B22D12"/>
    <w:lvl w:ilvl="0" w:tplc="DF7425A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8E49A4"/>
    <w:multiLevelType w:val="hybridMultilevel"/>
    <w:tmpl w:val="ABE63106"/>
    <w:lvl w:ilvl="0" w:tplc="8398C0E6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2" w:hanging="360"/>
      </w:pPr>
    </w:lvl>
    <w:lvl w:ilvl="2" w:tplc="0422001B" w:tentative="1">
      <w:start w:val="1"/>
      <w:numFmt w:val="lowerRoman"/>
      <w:lvlText w:val="%3."/>
      <w:lvlJc w:val="right"/>
      <w:pPr>
        <w:ind w:left="2362" w:hanging="180"/>
      </w:pPr>
    </w:lvl>
    <w:lvl w:ilvl="3" w:tplc="0422000F" w:tentative="1">
      <w:start w:val="1"/>
      <w:numFmt w:val="decimal"/>
      <w:lvlText w:val="%4."/>
      <w:lvlJc w:val="left"/>
      <w:pPr>
        <w:ind w:left="3082" w:hanging="360"/>
      </w:pPr>
    </w:lvl>
    <w:lvl w:ilvl="4" w:tplc="04220019" w:tentative="1">
      <w:start w:val="1"/>
      <w:numFmt w:val="lowerLetter"/>
      <w:lvlText w:val="%5."/>
      <w:lvlJc w:val="left"/>
      <w:pPr>
        <w:ind w:left="3802" w:hanging="360"/>
      </w:pPr>
    </w:lvl>
    <w:lvl w:ilvl="5" w:tplc="0422001B" w:tentative="1">
      <w:start w:val="1"/>
      <w:numFmt w:val="lowerRoman"/>
      <w:lvlText w:val="%6."/>
      <w:lvlJc w:val="right"/>
      <w:pPr>
        <w:ind w:left="4522" w:hanging="180"/>
      </w:pPr>
    </w:lvl>
    <w:lvl w:ilvl="6" w:tplc="0422000F" w:tentative="1">
      <w:start w:val="1"/>
      <w:numFmt w:val="decimal"/>
      <w:lvlText w:val="%7."/>
      <w:lvlJc w:val="left"/>
      <w:pPr>
        <w:ind w:left="5242" w:hanging="360"/>
      </w:pPr>
    </w:lvl>
    <w:lvl w:ilvl="7" w:tplc="04220019" w:tentative="1">
      <w:start w:val="1"/>
      <w:numFmt w:val="lowerLetter"/>
      <w:lvlText w:val="%8."/>
      <w:lvlJc w:val="left"/>
      <w:pPr>
        <w:ind w:left="5962" w:hanging="360"/>
      </w:pPr>
    </w:lvl>
    <w:lvl w:ilvl="8" w:tplc="042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686412CD"/>
    <w:multiLevelType w:val="hybridMultilevel"/>
    <w:tmpl w:val="5D6A2984"/>
    <w:lvl w:ilvl="0" w:tplc="0B66B684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69077715"/>
    <w:multiLevelType w:val="hybridMultilevel"/>
    <w:tmpl w:val="5E007B00"/>
    <w:lvl w:ilvl="0" w:tplc="DF742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44F16"/>
    <w:multiLevelType w:val="hybridMultilevel"/>
    <w:tmpl w:val="ED3C9EC6"/>
    <w:lvl w:ilvl="0" w:tplc="BF76C026">
      <w:start w:val="46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7" w15:restartNumberingAfterBreak="0">
    <w:nsid w:val="79550440"/>
    <w:multiLevelType w:val="hybridMultilevel"/>
    <w:tmpl w:val="D8DAAF4C"/>
    <w:lvl w:ilvl="0" w:tplc="EC10DAD6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67"/>
    <w:rsid w:val="00001CC9"/>
    <w:rsid w:val="00002B52"/>
    <w:rsid w:val="00022AAC"/>
    <w:rsid w:val="00024F5F"/>
    <w:rsid w:val="00024F91"/>
    <w:rsid w:val="00066056"/>
    <w:rsid w:val="00070E32"/>
    <w:rsid w:val="000A1794"/>
    <w:rsid w:val="000A1E03"/>
    <w:rsid w:val="000A49FE"/>
    <w:rsid w:val="000F14F5"/>
    <w:rsid w:val="00122254"/>
    <w:rsid w:val="00142B54"/>
    <w:rsid w:val="00184831"/>
    <w:rsid w:val="00194715"/>
    <w:rsid w:val="00223889"/>
    <w:rsid w:val="00245150"/>
    <w:rsid w:val="00245773"/>
    <w:rsid w:val="002519FD"/>
    <w:rsid w:val="00281EDC"/>
    <w:rsid w:val="002A1A95"/>
    <w:rsid w:val="002C629B"/>
    <w:rsid w:val="002D7E9C"/>
    <w:rsid w:val="002E3C21"/>
    <w:rsid w:val="0032020E"/>
    <w:rsid w:val="00334DBA"/>
    <w:rsid w:val="003362B5"/>
    <w:rsid w:val="003615AE"/>
    <w:rsid w:val="00382E94"/>
    <w:rsid w:val="003C38E0"/>
    <w:rsid w:val="003D651E"/>
    <w:rsid w:val="003E694B"/>
    <w:rsid w:val="003F55D2"/>
    <w:rsid w:val="004202C7"/>
    <w:rsid w:val="00456DFE"/>
    <w:rsid w:val="004B47D0"/>
    <w:rsid w:val="004F1104"/>
    <w:rsid w:val="004F49B0"/>
    <w:rsid w:val="005063C8"/>
    <w:rsid w:val="0051506D"/>
    <w:rsid w:val="00553DC5"/>
    <w:rsid w:val="00593F61"/>
    <w:rsid w:val="005A1235"/>
    <w:rsid w:val="005E79A9"/>
    <w:rsid w:val="006038A3"/>
    <w:rsid w:val="006104C3"/>
    <w:rsid w:val="00624C67"/>
    <w:rsid w:val="00631106"/>
    <w:rsid w:val="00644DA5"/>
    <w:rsid w:val="006623CF"/>
    <w:rsid w:val="00685B5C"/>
    <w:rsid w:val="006B7C3E"/>
    <w:rsid w:val="006D2444"/>
    <w:rsid w:val="006E2BA7"/>
    <w:rsid w:val="006E6717"/>
    <w:rsid w:val="0074491B"/>
    <w:rsid w:val="007550B6"/>
    <w:rsid w:val="007D1DB3"/>
    <w:rsid w:val="007E6DB1"/>
    <w:rsid w:val="00803A69"/>
    <w:rsid w:val="008072F5"/>
    <w:rsid w:val="0081311A"/>
    <w:rsid w:val="00842DC7"/>
    <w:rsid w:val="00880C27"/>
    <w:rsid w:val="00893995"/>
    <w:rsid w:val="00893C1E"/>
    <w:rsid w:val="00897FA3"/>
    <w:rsid w:val="008A0C44"/>
    <w:rsid w:val="008A3C07"/>
    <w:rsid w:val="008A6981"/>
    <w:rsid w:val="008B0949"/>
    <w:rsid w:val="008B446B"/>
    <w:rsid w:val="008C5408"/>
    <w:rsid w:val="0093551C"/>
    <w:rsid w:val="00974F6E"/>
    <w:rsid w:val="00990BFD"/>
    <w:rsid w:val="009A6C56"/>
    <w:rsid w:val="009C5BD9"/>
    <w:rsid w:val="009E367B"/>
    <w:rsid w:val="009E7035"/>
    <w:rsid w:val="00A53405"/>
    <w:rsid w:val="00A8473E"/>
    <w:rsid w:val="00A854A1"/>
    <w:rsid w:val="00AA2055"/>
    <w:rsid w:val="00AA6348"/>
    <w:rsid w:val="00AF68C2"/>
    <w:rsid w:val="00B077E8"/>
    <w:rsid w:val="00B31AAF"/>
    <w:rsid w:val="00BE3721"/>
    <w:rsid w:val="00C1722E"/>
    <w:rsid w:val="00C52380"/>
    <w:rsid w:val="00C67825"/>
    <w:rsid w:val="00C96938"/>
    <w:rsid w:val="00CA68A5"/>
    <w:rsid w:val="00CB2F3A"/>
    <w:rsid w:val="00CC28BC"/>
    <w:rsid w:val="00CE7175"/>
    <w:rsid w:val="00D05B67"/>
    <w:rsid w:val="00D3464D"/>
    <w:rsid w:val="00D6636B"/>
    <w:rsid w:val="00DA7CAA"/>
    <w:rsid w:val="00DB03C2"/>
    <w:rsid w:val="00DB0540"/>
    <w:rsid w:val="00DB3A61"/>
    <w:rsid w:val="00DD7059"/>
    <w:rsid w:val="00E5175C"/>
    <w:rsid w:val="00E64125"/>
    <w:rsid w:val="00EA2E7D"/>
    <w:rsid w:val="00EB563F"/>
    <w:rsid w:val="00ED0052"/>
    <w:rsid w:val="00ED222C"/>
    <w:rsid w:val="00F00452"/>
    <w:rsid w:val="00F12268"/>
    <w:rsid w:val="00FA652B"/>
    <w:rsid w:val="00FB0445"/>
    <w:rsid w:val="00FB4D4D"/>
    <w:rsid w:val="00FD0D64"/>
    <w:rsid w:val="00FD4558"/>
    <w:rsid w:val="00FD66B8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B8F1"/>
  <w15:chartTrackingRefBased/>
  <w15:docId w15:val="{7D78BBA1-C001-4554-AE92-A987F4DD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2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62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24C67"/>
    <w:rPr>
      <w:color w:val="0000FF"/>
      <w:u w:val="single"/>
    </w:rPr>
  </w:style>
  <w:style w:type="paragraph" w:customStyle="1" w:styleId="a4">
    <w:name w:val="Нормальний текст"/>
    <w:basedOn w:val="a"/>
    <w:rsid w:val="00624C6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Normal (Web)"/>
    <w:basedOn w:val="a"/>
    <w:unhideWhenUsed/>
    <w:rsid w:val="00624C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rvts44">
    <w:name w:val="rvts44"/>
    <w:basedOn w:val="a0"/>
    <w:rsid w:val="00624C67"/>
  </w:style>
  <w:style w:type="paragraph" w:styleId="2">
    <w:name w:val="Body Text 2"/>
    <w:basedOn w:val="a"/>
    <w:link w:val="20"/>
    <w:uiPriority w:val="99"/>
    <w:rsid w:val="00624C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624C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F12268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B3A6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3A61"/>
  </w:style>
  <w:style w:type="character" w:customStyle="1" w:styleId="rvts0">
    <w:name w:val="rvts0"/>
    <w:basedOn w:val="a0"/>
    <w:rsid w:val="00ED222C"/>
  </w:style>
  <w:style w:type="paragraph" w:customStyle="1" w:styleId="rvps2">
    <w:name w:val="rvps2"/>
    <w:basedOn w:val="a"/>
    <w:rsid w:val="00DB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45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5773"/>
    <w:rPr>
      <w:rFonts w:ascii="Segoe UI" w:hAnsi="Segoe UI" w:cs="Segoe UI"/>
      <w:sz w:val="18"/>
      <w:szCs w:val="18"/>
    </w:rPr>
  </w:style>
  <w:style w:type="paragraph" w:customStyle="1" w:styleId="rvps6">
    <w:name w:val="rvps6"/>
    <w:basedOn w:val="a"/>
    <w:rsid w:val="00ED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9">
    <w:name w:val="Основний текст_"/>
    <w:basedOn w:val="a0"/>
    <w:link w:val="1"/>
    <w:locked/>
    <w:rsid w:val="00A847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9"/>
    <w:rsid w:val="00A8473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vts23">
    <w:name w:val="rvts23"/>
    <w:basedOn w:val="a0"/>
    <w:rsid w:val="00A84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1-2015-%D0%BF" TargetMode="External"/><Relationship Id="rId13" Type="http://schemas.openxmlformats.org/officeDocument/2006/relationships/hyperlink" Target="https://zakon.rada.gov.ua/laws/show/254%D0%BA/96-%D0%B2%D1%8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yperlink" Target="https://zakon.rada.gov.ua/laws/show/889-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700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hyperlink" Target="https://zakon.rada.gov.ua/laws/show/889-19" TargetMode="External"/><Relationship Id="rId5" Type="http://schemas.openxmlformats.org/officeDocument/2006/relationships/hyperlink" Target="https://zakon.rada.gov.ua/laws/show/1682-18" TargetMode="External"/><Relationship Id="rId15" Type="http://schemas.openxmlformats.org/officeDocument/2006/relationships/hyperlink" Target="https://zakon.rada.gov.ua/laws/show/889-19" TargetMode="External"/><Relationship Id="rId10" Type="http://schemas.openxmlformats.org/officeDocument/2006/relationships/hyperlink" Target="mailto:kadry_sp@oblprok.lvi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dry_sp@oblprok.lviv.ua" TargetMode="External"/><Relationship Id="rId14" Type="http://schemas.openxmlformats.org/officeDocument/2006/relationships/hyperlink" Target="https://zakon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6817</Words>
  <Characters>3886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Kh10480096</dc:creator>
  <cp:keywords/>
  <dc:description/>
  <cp:lastModifiedBy>Admin</cp:lastModifiedBy>
  <cp:revision>3</cp:revision>
  <cp:lastPrinted>2023-04-10T10:10:00Z</cp:lastPrinted>
  <dcterms:created xsi:type="dcterms:W3CDTF">2025-11-06T08:08:00Z</dcterms:created>
  <dcterms:modified xsi:type="dcterms:W3CDTF">2025-11-06T08:13:00Z</dcterms:modified>
</cp:coreProperties>
</file>