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3E" w:rsidRDefault="00E77A3E" w:rsidP="00E77A3E">
      <w:pPr>
        <w:shd w:val="clear" w:color="auto" w:fill="FFFFFF"/>
        <w:spacing w:after="0" w:line="240" w:lineRule="auto"/>
        <w:ind w:left="262" w:right="262" w:firstLine="22"/>
        <w:jc w:val="center"/>
        <w:textAlignment w:val="baseline"/>
        <w:rPr>
          <w:rFonts w:ascii="Times New Roman" w:eastAsia="Times New Roman" w:hAnsi="Times New Roman" w:cs="Times New Roman"/>
          <w:b/>
          <w:kern w:val="20"/>
          <w:sz w:val="28"/>
          <w:szCs w:val="28"/>
          <w:lang w:eastAsia="ru-RU"/>
        </w:rPr>
      </w:pPr>
      <w:r>
        <w:rPr>
          <w:rFonts w:ascii="Times New Roman" w:eastAsia="Times New Roman" w:hAnsi="Times New Roman" w:cs="Times New Roman"/>
          <w:b/>
          <w:kern w:val="20"/>
          <w:sz w:val="28"/>
          <w:szCs w:val="28"/>
          <w:lang w:eastAsia="ru-RU"/>
        </w:rPr>
        <w:t>ОПИС ВАКАНТНОЇ ПОСАДИ</w:t>
      </w:r>
    </w:p>
    <w:p w:rsidR="00E77A3E" w:rsidRDefault="00E77A3E" w:rsidP="00E77A3E">
      <w:pPr>
        <w:shd w:val="clear" w:color="auto" w:fill="FFFFFF"/>
        <w:spacing w:after="0" w:line="240" w:lineRule="auto"/>
        <w:ind w:left="262" w:right="262" w:firstLine="22"/>
        <w:jc w:val="center"/>
        <w:textAlignment w:val="baseline"/>
        <w:rPr>
          <w:rFonts w:ascii="Times New Roman" w:eastAsia="Times New Roman" w:hAnsi="Times New Roman" w:cs="Times New Roman"/>
          <w:b/>
          <w:bCs/>
          <w:kern w:val="20"/>
          <w:sz w:val="28"/>
          <w:szCs w:val="28"/>
          <w:lang w:eastAsia="uk-UA"/>
        </w:rPr>
      </w:pPr>
      <w:r>
        <w:rPr>
          <w:rFonts w:ascii="Times New Roman" w:eastAsia="Times New Roman" w:hAnsi="Times New Roman" w:cs="Times New Roman"/>
          <w:b/>
          <w:kern w:val="20"/>
          <w:sz w:val="28"/>
          <w:szCs w:val="28"/>
          <w:lang w:eastAsia="ru-RU"/>
        </w:rPr>
        <w:t>державної служби</w:t>
      </w:r>
      <w:r>
        <w:rPr>
          <w:rFonts w:ascii="Times New Roman" w:eastAsia="Times New Roman" w:hAnsi="Times New Roman" w:cs="Times New Roman"/>
          <w:color w:val="000000"/>
          <w:kern w:val="20"/>
          <w:sz w:val="28"/>
          <w:szCs w:val="28"/>
          <w:lang w:eastAsia="ru-RU"/>
        </w:rPr>
        <w:t xml:space="preserve"> </w:t>
      </w:r>
      <w:r>
        <w:rPr>
          <w:rFonts w:ascii="Times New Roman" w:eastAsia="Times New Roman" w:hAnsi="Times New Roman" w:cs="Times New Roman"/>
          <w:b/>
          <w:kern w:val="20"/>
          <w:sz w:val="28"/>
          <w:szCs w:val="28"/>
          <w:lang w:eastAsia="ru-RU"/>
        </w:rPr>
        <w:t>категорії «В</w:t>
      </w:r>
      <w:r w:rsidRPr="00C1722E">
        <w:rPr>
          <w:rFonts w:ascii="Times New Roman" w:eastAsia="Times New Roman" w:hAnsi="Times New Roman" w:cs="Times New Roman"/>
          <w:b/>
          <w:kern w:val="20"/>
          <w:sz w:val="28"/>
          <w:szCs w:val="28"/>
          <w:lang w:eastAsia="ru-RU"/>
        </w:rPr>
        <w:t>»</w:t>
      </w:r>
      <w:r>
        <w:rPr>
          <w:rFonts w:ascii="Times New Roman" w:eastAsia="Times New Roman" w:hAnsi="Times New Roman" w:cs="Times New Roman"/>
          <w:b/>
          <w:bCs/>
          <w:kern w:val="20"/>
          <w:sz w:val="28"/>
          <w:szCs w:val="28"/>
          <w:lang w:eastAsia="uk-UA"/>
        </w:rPr>
        <w:t xml:space="preserve"> -</w:t>
      </w:r>
    </w:p>
    <w:p w:rsidR="00E77A3E" w:rsidRDefault="00E77A3E" w:rsidP="00E77A3E">
      <w:pPr>
        <w:shd w:val="clear" w:color="auto" w:fill="FFFFFF"/>
        <w:spacing w:after="0" w:line="240" w:lineRule="auto"/>
        <w:ind w:left="262" w:right="262" w:firstLine="22"/>
        <w:jc w:val="center"/>
        <w:textAlignment w:val="baseline"/>
        <w:rPr>
          <w:rFonts w:ascii="Times New Roman" w:eastAsia="Times New Roman" w:hAnsi="Times New Roman" w:cs="Times New Roman"/>
          <w:b/>
          <w:color w:val="000000"/>
          <w:kern w:val="20"/>
          <w:sz w:val="28"/>
          <w:szCs w:val="28"/>
          <w:lang w:eastAsia="uk-UA"/>
        </w:rPr>
      </w:pPr>
      <w:r>
        <w:rPr>
          <w:rFonts w:ascii="Times New Roman" w:eastAsia="Times New Roman" w:hAnsi="Times New Roman" w:cs="Times New Roman"/>
          <w:b/>
          <w:color w:val="000000"/>
          <w:kern w:val="20"/>
          <w:sz w:val="28"/>
          <w:szCs w:val="28"/>
          <w:lang w:eastAsia="uk-UA"/>
        </w:rPr>
        <w:t>головного спеціаліста відділу організаційного та правового забезпечення</w:t>
      </w:r>
    </w:p>
    <w:p w:rsidR="00E77A3E" w:rsidRPr="00C1722E" w:rsidRDefault="00E77A3E" w:rsidP="00E77A3E">
      <w:pPr>
        <w:shd w:val="clear" w:color="auto" w:fill="FFFFFF"/>
        <w:spacing w:after="0" w:line="240" w:lineRule="auto"/>
        <w:ind w:left="262" w:right="262" w:firstLine="22"/>
        <w:jc w:val="center"/>
        <w:textAlignment w:val="baseline"/>
        <w:rPr>
          <w:rFonts w:ascii="Times New Roman" w:eastAsia="Times New Roman" w:hAnsi="Times New Roman" w:cs="Times New Roman"/>
          <w:b/>
          <w:color w:val="000000"/>
          <w:kern w:val="20"/>
          <w:sz w:val="28"/>
          <w:szCs w:val="28"/>
          <w:lang w:eastAsia="uk-UA"/>
        </w:rPr>
      </w:pPr>
      <w:r w:rsidRPr="00C1722E">
        <w:rPr>
          <w:rFonts w:ascii="Times New Roman" w:eastAsia="Times New Roman" w:hAnsi="Times New Roman" w:cs="Times New Roman"/>
          <w:b/>
          <w:color w:val="000000"/>
          <w:kern w:val="20"/>
          <w:sz w:val="28"/>
          <w:szCs w:val="28"/>
          <w:lang w:eastAsia="uk-UA"/>
        </w:rPr>
        <w:t>Львівської обласної прокуратури</w:t>
      </w:r>
    </w:p>
    <w:p w:rsidR="00E77A3E" w:rsidRPr="00382E94" w:rsidRDefault="00E77A3E" w:rsidP="00E77A3E">
      <w:pPr>
        <w:shd w:val="clear" w:color="auto" w:fill="FFFFFF"/>
        <w:spacing w:after="0" w:line="240" w:lineRule="auto"/>
        <w:ind w:left="262" w:right="262"/>
        <w:jc w:val="center"/>
        <w:textAlignment w:val="baseline"/>
        <w:rPr>
          <w:rFonts w:ascii="Times New Roman" w:eastAsia="Times New Roman" w:hAnsi="Times New Roman" w:cs="Times New Roman"/>
          <w:b/>
          <w:color w:val="000000"/>
          <w:kern w:val="20"/>
          <w:sz w:val="24"/>
          <w:szCs w:val="24"/>
          <w:lang w:eastAsia="uk-UA"/>
        </w:rPr>
      </w:pPr>
    </w:p>
    <w:tbl>
      <w:tblPr>
        <w:tblW w:w="4935" w:type="pct"/>
        <w:tblInd w:w="-6" w:type="dxa"/>
        <w:tblCellMar>
          <w:left w:w="0" w:type="dxa"/>
          <w:right w:w="0" w:type="dxa"/>
        </w:tblCellMar>
        <w:tblLook w:val="04A0" w:firstRow="1" w:lastRow="0" w:firstColumn="1" w:lastColumn="0" w:noHBand="0" w:noVBand="1"/>
      </w:tblPr>
      <w:tblGrid>
        <w:gridCol w:w="566"/>
        <w:gridCol w:w="8"/>
        <w:gridCol w:w="3793"/>
        <w:gridCol w:w="254"/>
        <w:gridCol w:w="4882"/>
      </w:tblGrid>
      <w:tr w:rsidR="00E77A3E" w:rsidRPr="00314D12" w:rsidTr="005E5F55">
        <w:trPr>
          <w:trHeight w:val="266"/>
        </w:trPr>
        <w:tc>
          <w:tcPr>
            <w:tcW w:w="9782" w:type="dxa"/>
            <w:gridSpan w:val="5"/>
            <w:tcBorders>
              <w:top w:val="single" w:sz="4" w:space="0" w:color="auto"/>
              <w:left w:val="single" w:sz="4" w:space="0" w:color="auto"/>
              <w:bottom w:val="single" w:sz="4" w:space="0" w:color="auto"/>
              <w:right w:val="single" w:sz="4" w:space="0" w:color="auto"/>
            </w:tcBorders>
            <w:shd w:val="clear" w:color="auto" w:fill="auto"/>
            <w:hideMark/>
          </w:tcPr>
          <w:p w:rsidR="00E77A3E" w:rsidRPr="002D7422" w:rsidRDefault="00E77A3E" w:rsidP="005E5F55">
            <w:pPr>
              <w:spacing w:before="150" w:after="150" w:line="240" w:lineRule="auto"/>
              <w:jc w:val="center"/>
              <w:rPr>
                <w:rFonts w:ascii="Times New Roman" w:eastAsia="Times New Roman" w:hAnsi="Times New Roman" w:cs="Times New Roman"/>
                <w:sz w:val="24"/>
                <w:szCs w:val="24"/>
              </w:rPr>
            </w:pPr>
            <w:bookmarkStart w:id="0" w:name="n766"/>
            <w:bookmarkEnd w:id="0"/>
            <w:r w:rsidRPr="002D7422">
              <w:rPr>
                <w:rFonts w:ascii="Times New Roman" w:eastAsia="Times New Roman" w:hAnsi="Times New Roman" w:cs="Times New Roman"/>
                <w:sz w:val="24"/>
                <w:szCs w:val="24"/>
              </w:rPr>
              <w:t>Загальні умови</w:t>
            </w:r>
          </w:p>
        </w:tc>
      </w:tr>
      <w:tr w:rsidR="00E77A3E" w:rsidRPr="00314D12" w:rsidTr="005E5F55">
        <w:trPr>
          <w:trHeight w:val="266"/>
        </w:trPr>
        <w:tc>
          <w:tcPr>
            <w:tcW w:w="4784" w:type="dxa"/>
            <w:gridSpan w:val="4"/>
            <w:tcBorders>
              <w:top w:val="single" w:sz="4" w:space="0" w:color="auto"/>
              <w:left w:val="single" w:sz="2" w:space="0" w:color="auto"/>
              <w:bottom w:val="single" w:sz="2" w:space="0" w:color="auto"/>
              <w:right w:val="single" w:sz="2" w:space="0" w:color="auto"/>
            </w:tcBorders>
            <w:shd w:val="clear" w:color="auto" w:fill="auto"/>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Посадові обов’язки</w:t>
            </w:r>
          </w:p>
        </w:tc>
        <w:tc>
          <w:tcPr>
            <w:tcW w:w="4998" w:type="dxa"/>
            <w:tcBorders>
              <w:top w:val="single" w:sz="4" w:space="0" w:color="auto"/>
              <w:left w:val="single" w:sz="2" w:space="0" w:color="auto"/>
              <w:bottom w:val="single" w:sz="2" w:space="0" w:color="auto"/>
              <w:right w:val="single" w:sz="2" w:space="0" w:color="auto"/>
            </w:tcBorders>
            <w:shd w:val="clear" w:color="auto" w:fill="auto"/>
          </w:tcPr>
          <w:p w:rsidR="00E77A3E" w:rsidRPr="001D343B" w:rsidRDefault="001D343B" w:rsidP="001D343B">
            <w:pPr>
              <w:pStyle w:val="a6"/>
              <w:numPr>
                <w:ilvl w:val="0"/>
                <w:numId w:val="3"/>
              </w:numPr>
              <w:spacing w:after="0"/>
              <w:rPr>
                <w:rFonts w:ascii="Times New Roman" w:hAnsi="Times New Roman" w:cs="Times New Roman"/>
                <w:sz w:val="24"/>
                <w:szCs w:val="24"/>
              </w:rPr>
            </w:pPr>
            <w:r>
              <w:rPr>
                <w:rFonts w:ascii="Times New Roman" w:eastAsia="Courier New" w:hAnsi="Times New Roman"/>
                <w:bCs/>
                <w:sz w:val="24"/>
                <w:szCs w:val="24"/>
              </w:rPr>
              <w:t>З</w:t>
            </w:r>
            <w:r w:rsidRPr="005652BD">
              <w:rPr>
                <w:rFonts w:ascii="Times New Roman" w:eastAsia="Courier New" w:hAnsi="Times New Roman"/>
                <w:bCs/>
                <w:sz w:val="24"/>
                <w:szCs w:val="24"/>
              </w:rPr>
              <w:t>абезпечення організаційної підготовки і проведення оперативних та апаратних нарад при керівнику обласної прокуратури. В межах Регламенту прокуратури, оформляє відповідні протоколи, здійснює контроль за строками і станом реалізації прийнятих рішень. Веде електронний облік оперативних, апаратних нарад у керівника обласної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Здійснення контролю за виконанням рішень оперативних нарад у Генерального прокурора чи його заступників. У взаємодії з відповідальними структурними підрозділами обласного апарату у межах компетенції відділу, забезпечує організаційну підготовку координаційних (спільних) нарад під головуванням керівника обласної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 xml:space="preserve">У встановленому порядку залучення структурних підрозділів апарату обласної прокуратури до опрацювання примірників наказів керівників окружних прокуратур про розподіл обов’язків між підпорядкованими працівниками, а також до підготовки листів щодо усунення недоліків, у разі їх виявлення, в </w:t>
            </w:r>
            <w:proofErr w:type="spellStart"/>
            <w:r w:rsidRPr="005652BD">
              <w:rPr>
                <w:rFonts w:ascii="Times New Roman" w:eastAsia="Courier New" w:hAnsi="Times New Roman"/>
                <w:bCs/>
                <w:sz w:val="24"/>
                <w:szCs w:val="24"/>
              </w:rPr>
              <w:t>т.ч</w:t>
            </w:r>
            <w:proofErr w:type="spellEnd"/>
            <w:r w:rsidRPr="005652BD">
              <w:rPr>
                <w:rFonts w:ascii="Times New Roman" w:eastAsia="Courier New" w:hAnsi="Times New Roman"/>
                <w:bCs/>
                <w:sz w:val="24"/>
                <w:szCs w:val="24"/>
              </w:rPr>
              <w:t>. бере участь у розробці проекту Регламенту обласної прокуратури згідно закріплених напрямків.</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За дорученням керівника обласної  прокуратури, начальника відділу попередньо вивчення, візування підготовленої на підпис керівника обласної прокуратури на доповідь ділової документації. Здійснення опрацювання, візування, реєстрації та обліку підготовлених структурними підрозділами апарату обласної прокуратури доручень керівника обласної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lastRenderedPageBreak/>
              <w:t>У встановленому порядку проведення перевірки у структурних підрозділах обласної прокуратури та підпорядкованих прокуратурах щодо стану організації роботи, контролю виконання і виконавської дисципліни, в тому числі за фактами порушень термінів та неналежного виконання контрольних документів, а в структурних підрозділах апарату обласної прокуратури доручень керівника обласної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У встановленому порядку здійснення надання практичної допомоги у підпорядкованих прокуратурах щодо стану організації роботи, контролю виконання і виконавської дисципліни.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Надання оцінки апарату обласної прокуратури та окружних прокуратур відповідно до визначених Офісом Генерального прокурора основних критеріїв та комплексно у площині фахового вирішення питань, що належать до компетенції прокуратури, у поєднанні із статистичними даними, які характеризують якість роботи та можуть об’єктивно порівнюватись.</w:t>
            </w:r>
          </w:p>
          <w:p w:rsidR="001D343B" w:rsidRPr="001D343B" w:rsidRDefault="001D343B" w:rsidP="001D343B">
            <w:pPr>
              <w:pStyle w:val="a6"/>
              <w:numPr>
                <w:ilvl w:val="0"/>
                <w:numId w:val="3"/>
              </w:numPr>
              <w:spacing w:after="0"/>
              <w:rPr>
                <w:rStyle w:val="FontStyle13"/>
                <w:sz w:val="24"/>
                <w:szCs w:val="24"/>
              </w:rPr>
            </w:pPr>
            <w:r w:rsidRPr="005652BD">
              <w:rPr>
                <w:rStyle w:val="FontStyle13"/>
                <w:sz w:val="24"/>
                <w:szCs w:val="24"/>
              </w:rPr>
              <w:t>Розроблення, з урахуванням пропозицій інших структурних підрозділів, проекту Регламенту обласної</w:t>
            </w:r>
            <w:r w:rsidRPr="005652BD">
              <w:rPr>
                <w:rStyle w:val="FontStyle13"/>
                <w:rFonts w:eastAsia="Lucida Sans Unicode"/>
                <w:sz w:val="24"/>
                <w:szCs w:val="24"/>
              </w:rPr>
              <w:t xml:space="preserve">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Забезпечення підготовки проєктів організаційно-розпорядчих документів з питань організації роботи, контролю виконання та правового забезпечення.</w:t>
            </w:r>
          </w:p>
          <w:p w:rsidR="001D343B" w:rsidRPr="001D343B" w:rsidRDefault="001D343B" w:rsidP="001D343B">
            <w:pPr>
              <w:pStyle w:val="a6"/>
              <w:numPr>
                <w:ilvl w:val="0"/>
                <w:numId w:val="3"/>
              </w:numPr>
              <w:spacing w:after="0"/>
              <w:rPr>
                <w:rFonts w:ascii="Times New Roman" w:hAnsi="Times New Roman" w:cs="Times New Roman"/>
                <w:sz w:val="24"/>
                <w:szCs w:val="24"/>
              </w:rPr>
            </w:pPr>
            <w:r>
              <w:rPr>
                <w:rFonts w:ascii="Times New Roman" w:eastAsia="Courier New" w:hAnsi="Times New Roman"/>
                <w:bCs/>
                <w:sz w:val="24"/>
                <w:szCs w:val="24"/>
              </w:rPr>
              <w:t>Виконання інших доручень керівництва обласної прокуратури та безпосереднього керівника.</w:t>
            </w:r>
          </w:p>
        </w:tc>
      </w:tr>
      <w:tr w:rsidR="00E77A3E" w:rsidRPr="00314D12" w:rsidTr="005E5F55">
        <w:trPr>
          <w:trHeight w:val="266"/>
        </w:trPr>
        <w:tc>
          <w:tcPr>
            <w:tcW w:w="4784" w:type="dxa"/>
            <w:gridSpan w:val="4"/>
            <w:tcBorders>
              <w:top w:val="single" w:sz="4" w:space="0" w:color="auto"/>
              <w:left w:val="single" w:sz="2" w:space="0" w:color="auto"/>
              <w:bottom w:val="single" w:sz="2" w:space="0" w:color="auto"/>
              <w:right w:val="single" w:sz="2" w:space="0" w:color="auto"/>
            </w:tcBorders>
            <w:shd w:val="clear" w:color="auto" w:fill="auto"/>
          </w:tcPr>
          <w:p w:rsidR="00E77A3E" w:rsidRPr="00E5175C" w:rsidRDefault="00E77A3E" w:rsidP="005E5F55">
            <w:pPr>
              <w:rPr>
                <w:rFonts w:ascii="Times New Roman" w:hAnsi="Times New Roman" w:cs="Times New Roman"/>
                <w:sz w:val="24"/>
                <w:szCs w:val="24"/>
              </w:rPr>
            </w:pPr>
            <w:r w:rsidRPr="00E5175C">
              <w:rPr>
                <w:rFonts w:ascii="Times New Roman" w:hAnsi="Times New Roman" w:cs="Times New Roman"/>
                <w:sz w:val="24"/>
                <w:szCs w:val="24"/>
              </w:rPr>
              <w:lastRenderedPageBreak/>
              <w:t xml:space="preserve">Умови оплати праці </w:t>
            </w:r>
          </w:p>
        </w:tc>
        <w:tc>
          <w:tcPr>
            <w:tcW w:w="4998" w:type="dxa"/>
            <w:tcBorders>
              <w:top w:val="single" w:sz="4" w:space="0" w:color="auto"/>
              <w:left w:val="single" w:sz="2" w:space="0" w:color="auto"/>
              <w:bottom w:val="single" w:sz="2" w:space="0" w:color="auto"/>
              <w:right w:val="single" w:sz="2" w:space="0" w:color="auto"/>
            </w:tcBorders>
            <w:shd w:val="clear" w:color="auto" w:fill="auto"/>
          </w:tcPr>
          <w:p w:rsidR="00E77A3E" w:rsidRPr="00E5175C" w:rsidRDefault="00E77A3E" w:rsidP="004F29D7">
            <w:pPr>
              <w:ind w:left="200" w:right="142"/>
              <w:jc w:val="both"/>
              <w:rPr>
                <w:rFonts w:ascii="Times New Roman" w:hAnsi="Times New Roman" w:cs="Times New Roman"/>
                <w:sz w:val="24"/>
                <w:szCs w:val="24"/>
              </w:rPr>
            </w:pPr>
            <w:r w:rsidRPr="00E5175C">
              <w:rPr>
                <w:rFonts w:ascii="Times New Roman" w:hAnsi="Times New Roman" w:cs="Times New Roman"/>
                <w:sz w:val="24"/>
                <w:szCs w:val="24"/>
              </w:rPr>
              <w:t xml:space="preserve">посадовий оклад, надбавки, доплати, </w:t>
            </w:r>
            <w:r w:rsidRPr="00E5175C">
              <w:rPr>
                <w:rFonts w:ascii="Times New Roman" w:hAnsi="Times New Roman" w:cs="Times New Roman"/>
                <w:sz w:val="24"/>
                <w:szCs w:val="24"/>
              </w:rPr>
              <w:br/>
              <w:t>премії та компенсації відповідно до статей 50-52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r>
              <w:rPr>
                <w:rFonts w:ascii="Times New Roman" w:hAnsi="Times New Roman" w:cs="Times New Roman"/>
                <w:sz w:val="24"/>
                <w:szCs w:val="24"/>
              </w:rPr>
              <w:t>.</w:t>
            </w:r>
          </w:p>
        </w:tc>
      </w:tr>
      <w:tr w:rsidR="00E77A3E" w:rsidRPr="00314D12" w:rsidTr="005E5F55">
        <w:trPr>
          <w:trHeight w:val="743"/>
        </w:trPr>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 xml:space="preserve">Інформація про строковість </w:t>
            </w:r>
            <w:r>
              <w:rPr>
                <w:rFonts w:ascii="Times New Roman" w:eastAsia="Times New Roman" w:hAnsi="Times New Roman" w:cs="Times New Roman"/>
                <w:sz w:val="24"/>
                <w:szCs w:val="24"/>
              </w:rPr>
              <w:t xml:space="preserve">чи безстроковість </w:t>
            </w:r>
            <w:r w:rsidRPr="00314D12">
              <w:rPr>
                <w:rFonts w:ascii="Times New Roman" w:eastAsia="Times New Roman" w:hAnsi="Times New Roman" w:cs="Times New Roman"/>
                <w:sz w:val="24"/>
                <w:szCs w:val="24"/>
              </w:rPr>
              <w:t>призначення на посаду</w:t>
            </w:r>
            <w:r>
              <w:rPr>
                <w:rFonts w:ascii="Times New Roman" w:eastAsia="Times New Roman" w:hAnsi="Times New Roman" w:cs="Times New Roman"/>
                <w:sz w:val="24"/>
                <w:szCs w:val="24"/>
              </w:rPr>
              <w:t xml:space="preserve"> </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Default="00E77A3E" w:rsidP="005E5F55">
            <w:pPr>
              <w:pStyle w:val="a5"/>
              <w:ind w:left="147" w:right="277" w:firstLine="3"/>
              <w:jc w:val="both"/>
              <w:rPr>
                <w:rFonts w:ascii="Times New Roman" w:hAnsi="Times New Roman"/>
                <w:sz w:val="24"/>
                <w:szCs w:val="24"/>
              </w:rPr>
            </w:pPr>
            <w:r>
              <w:rPr>
                <w:rFonts w:ascii="Times New Roman" w:hAnsi="Times New Roman"/>
                <w:sz w:val="24"/>
                <w:szCs w:val="24"/>
              </w:rPr>
              <w:t xml:space="preserve">строково, до призначення переможця конкурсу, або спливу 12-місячного терміну з дня </w:t>
            </w:r>
            <w:r w:rsidRPr="00897FA3">
              <w:rPr>
                <w:rFonts w:ascii="Times New Roman" w:hAnsi="Times New Roman"/>
                <w:sz w:val="24"/>
                <w:szCs w:val="24"/>
              </w:rPr>
              <w:t>припинення чи скасування воєнного стану.</w:t>
            </w:r>
          </w:p>
          <w:p w:rsidR="00E77A3E" w:rsidRPr="00DD7059" w:rsidRDefault="00E77A3E" w:rsidP="005E5F55">
            <w:pPr>
              <w:pStyle w:val="a5"/>
              <w:ind w:left="177" w:right="277" w:firstLine="0"/>
              <w:jc w:val="both"/>
              <w:rPr>
                <w:rFonts w:ascii="Times New Roman" w:hAnsi="Times New Roman"/>
                <w:sz w:val="24"/>
                <w:szCs w:val="24"/>
              </w:rPr>
            </w:pPr>
            <w:r>
              <w:rPr>
                <w:rFonts w:ascii="Times New Roman" w:hAnsi="Times New Roman"/>
                <w:sz w:val="24"/>
                <w:szCs w:val="24"/>
              </w:rPr>
              <w:lastRenderedPageBreak/>
              <w:t>*Відповідно до Закону України «Про державну службу», с</w:t>
            </w:r>
            <w:r w:rsidRPr="00897FA3">
              <w:rPr>
                <w:rFonts w:ascii="Times New Roman" w:hAnsi="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77A3E" w:rsidRPr="00314D12" w:rsidTr="005E5F55">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A3E" w:rsidRPr="005A1235" w:rsidRDefault="00E77A3E" w:rsidP="005E5F55">
            <w:pPr>
              <w:spacing w:before="150" w:after="150" w:line="240" w:lineRule="auto"/>
              <w:rPr>
                <w:rFonts w:ascii="Times New Roman" w:eastAsia="Times New Roman" w:hAnsi="Times New Roman" w:cs="Times New Roman"/>
                <w:sz w:val="24"/>
                <w:szCs w:val="24"/>
              </w:rPr>
            </w:pPr>
            <w:r w:rsidRPr="005A1235">
              <w:rPr>
                <w:rFonts w:ascii="Times New Roman" w:hAnsi="Times New Roman" w:cs="Times New Roman"/>
                <w:sz w:val="24"/>
                <w:szCs w:val="24"/>
              </w:rPr>
              <w:lastRenderedPageBreak/>
              <w:t xml:space="preserve">Перелік документів, які </w:t>
            </w:r>
            <w:r>
              <w:rPr>
                <w:rFonts w:ascii="Times New Roman" w:hAnsi="Times New Roman" w:cs="Times New Roman"/>
                <w:sz w:val="24"/>
                <w:szCs w:val="24"/>
              </w:rPr>
              <w:t>потрібно</w:t>
            </w:r>
            <w:r w:rsidRPr="005A1235">
              <w:rPr>
                <w:rFonts w:ascii="Times New Roman" w:hAnsi="Times New Roman" w:cs="Times New Roman"/>
                <w:sz w:val="24"/>
                <w:szCs w:val="24"/>
              </w:rPr>
              <w:t xml:space="preserve"> надати для призначення на посаду державної служби в період дії воєнного стану, в тому числі спосіб подання, адреса та строк їх подання</w:t>
            </w:r>
          </w:p>
        </w:tc>
        <w:tc>
          <w:tcPr>
            <w:tcW w:w="4998" w:type="dxa"/>
            <w:tcBorders>
              <w:top w:val="single" w:sz="2" w:space="0" w:color="auto"/>
              <w:left w:val="single" w:sz="2" w:space="0" w:color="auto"/>
              <w:bottom w:val="single" w:sz="2" w:space="0" w:color="auto"/>
              <w:right w:val="single" w:sz="2" w:space="0" w:color="auto"/>
            </w:tcBorders>
            <w:shd w:val="clear" w:color="auto" w:fill="auto"/>
          </w:tcPr>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заява про призначення на посаду на період дії воєнного стану;</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резюме (відповідно до постанови КМУ від 25.03.2016 № 246);</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особова картка державного службовця встановленого зразка (затверджена наказом НАДС від 19.05.2020 № 77-20);</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копія паспорта громадянина України;</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копії документів про освіту з додатками, науковий ступінь, вчене звання</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копія трудової книжки</w:t>
            </w:r>
            <w:r>
              <w:t xml:space="preserve"> (за наявності)</w:t>
            </w:r>
            <w:r w:rsidRPr="005A1235">
              <w:t>;</w:t>
            </w:r>
          </w:p>
          <w:p w:rsidR="00E77A3E" w:rsidRPr="005A1235" w:rsidRDefault="00E77A3E" w:rsidP="005E5F55">
            <w:pPr>
              <w:pStyle w:val="rvps2"/>
              <w:numPr>
                <w:ilvl w:val="0"/>
                <w:numId w:val="2"/>
              </w:numPr>
              <w:shd w:val="clear" w:color="auto" w:fill="FFFFFF"/>
              <w:tabs>
                <w:tab w:val="left" w:pos="567"/>
                <w:tab w:val="left" w:pos="885"/>
                <w:tab w:val="left" w:pos="1452"/>
              </w:tabs>
              <w:spacing w:before="0" w:beforeAutospacing="0" w:after="0" w:afterAutospacing="0"/>
              <w:ind w:right="142"/>
              <w:jc w:val="both"/>
            </w:pPr>
            <w:r w:rsidRPr="005A1235">
              <w:t>завірена в установленому порядку копія довідки про результати проведення перевірки відповідно до</w:t>
            </w:r>
            <w:r>
              <w:t xml:space="preserve"> </w:t>
            </w:r>
            <w:r w:rsidRPr="005A1235">
              <w:t> </w:t>
            </w:r>
            <w:hyperlink r:id="rId5" w:tgtFrame="_blank" w:history="1">
              <w:r w:rsidRPr="005A1235">
                <w:rPr>
                  <w:rStyle w:val="a3"/>
                </w:rPr>
                <w:t>Закону України</w:t>
              </w:r>
            </w:hyperlink>
            <w:r w:rsidRPr="005A1235">
              <w:t> </w:t>
            </w:r>
            <w:r>
              <w:t xml:space="preserve"> </w:t>
            </w:r>
            <w:r w:rsidRPr="005A1235">
              <w:t>«Про очищення влади» (за наявності);</w:t>
            </w:r>
          </w:p>
          <w:p w:rsidR="00E77A3E" w:rsidRPr="005A1235" w:rsidRDefault="00E77A3E" w:rsidP="005E5F55">
            <w:pPr>
              <w:pStyle w:val="rvps2"/>
              <w:numPr>
                <w:ilvl w:val="0"/>
                <w:numId w:val="2"/>
              </w:numPr>
              <w:shd w:val="clear" w:color="auto" w:fill="FFFFFF"/>
              <w:tabs>
                <w:tab w:val="left" w:pos="567"/>
                <w:tab w:val="left" w:pos="851"/>
                <w:tab w:val="left" w:pos="885"/>
              </w:tabs>
              <w:spacing w:before="0" w:beforeAutospacing="0" w:after="0" w:afterAutospacing="0"/>
              <w:ind w:right="142"/>
              <w:jc w:val="both"/>
            </w:pPr>
            <w:r w:rsidRPr="005A1235">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rsidR="00E77A3E" w:rsidRPr="005A1235" w:rsidRDefault="00E77A3E" w:rsidP="005E5F55">
            <w:pPr>
              <w:pStyle w:val="rvps2"/>
              <w:numPr>
                <w:ilvl w:val="0"/>
                <w:numId w:val="2"/>
              </w:numPr>
              <w:shd w:val="clear" w:color="auto" w:fill="FFFFFF"/>
              <w:tabs>
                <w:tab w:val="left" w:pos="567"/>
                <w:tab w:val="left" w:pos="885"/>
                <w:tab w:val="left" w:pos="1027"/>
              </w:tabs>
              <w:spacing w:before="0" w:beforeAutospacing="0" w:after="0" w:afterAutospacing="0"/>
              <w:ind w:right="142"/>
              <w:jc w:val="both"/>
            </w:pPr>
            <w:r w:rsidRPr="005A1235">
              <w:rPr>
                <w:shd w:val="clear" w:color="auto" w:fill="FFFFFF"/>
              </w:rPr>
              <w:t>державний сертифікат про рівень володіння державною мовою                                     (за наявності).</w:t>
            </w:r>
          </w:p>
          <w:p w:rsidR="00E77A3E" w:rsidRPr="005A1235" w:rsidRDefault="00E77A3E" w:rsidP="005E5F55">
            <w:pPr>
              <w:pStyle w:val="rvps2"/>
              <w:shd w:val="clear" w:color="auto" w:fill="FFFFFF"/>
              <w:tabs>
                <w:tab w:val="left" w:pos="567"/>
                <w:tab w:val="left" w:pos="851"/>
              </w:tabs>
              <w:spacing w:before="0" w:beforeAutospacing="0" w:after="0" w:afterAutospacing="0"/>
              <w:ind w:left="177" w:right="142"/>
              <w:jc w:val="both"/>
              <w:rPr>
                <w:shd w:val="clear" w:color="auto" w:fill="FFFFFF"/>
              </w:rPr>
            </w:pPr>
          </w:p>
          <w:p w:rsidR="00E77A3E" w:rsidRDefault="00E77A3E" w:rsidP="005E5F55">
            <w:pPr>
              <w:pStyle w:val="rvps2"/>
              <w:shd w:val="clear" w:color="auto" w:fill="FFFFFF"/>
              <w:tabs>
                <w:tab w:val="left" w:pos="567"/>
                <w:tab w:val="left" w:pos="851"/>
              </w:tabs>
              <w:spacing w:before="0" w:beforeAutospacing="0" w:after="0" w:afterAutospacing="0"/>
              <w:ind w:left="177" w:right="142"/>
              <w:jc w:val="both"/>
              <w:rPr>
                <w:b/>
                <w:bCs/>
              </w:rPr>
            </w:pPr>
            <w:r w:rsidRPr="005A1235">
              <w:t xml:space="preserve">Документи приймаються </w:t>
            </w:r>
            <w:r w:rsidR="00C550DA">
              <w:rPr>
                <w:b/>
                <w:bCs/>
              </w:rPr>
              <w:t xml:space="preserve">до </w:t>
            </w:r>
            <w:r w:rsidR="006215C0">
              <w:rPr>
                <w:b/>
                <w:bCs/>
              </w:rPr>
              <w:t>13:00                     24</w:t>
            </w:r>
            <w:r>
              <w:rPr>
                <w:b/>
                <w:bCs/>
              </w:rPr>
              <w:t xml:space="preserve"> </w:t>
            </w:r>
            <w:r w:rsidR="0074148D">
              <w:rPr>
                <w:b/>
                <w:bCs/>
              </w:rPr>
              <w:t>квітня</w:t>
            </w:r>
            <w:r w:rsidR="00C550DA">
              <w:rPr>
                <w:b/>
                <w:bCs/>
              </w:rPr>
              <w:t xml:space="preserve"> </w:t>
            </w:r>
            <w:bookmarkStart w:id="1" w:name="_GoBack"/>
            <w:bookmarkEnd w:id="1"/>
            <w:r w:rsidR="00C550DA">
              <w:rPr>
                <w:b/>
                <w:bCs/>
              </w:rPr>
              <w:t>2023</w:t>
            </w:r>
            <w:r w:rsidRPr="005A1235">
              <w:rPr>
                <w:b/>
                <w:bCs/>
              </w:rPr>
              <w:t xml:space="preserve"> року</w:t>
            </w:r>
            <w:r w:rsidRPr="005A1235">
              <w:t xml:space="preserve"> на </w:t>
            </w:r>
            <w:r w:rsidRPr="005A1235">
              <w:rPr>
                <w:b/>
                <w:bCs/>
              </w:rPr>
              <w:t>електронну адресу:</w:t>
            </w:r>
          </w:p>
          <w:p w:rsidR="00E77A3E" w:rsidRDefault="00E77A3E" w:rsidP="005E5F55">
            <w:pPr>
              <w:pStyle w:val="rvps2"/>
              <w:shd w:val="clear" w:color="auto" w:fill="FFFFFF"/>
              <w:tabs>
                <w:tab w:val="left" w:pos="567"/>
                <w:tab w:val="left" w:pos="851"/>
              </w:tabs>
              <w:spacing w:before="0" w:beforeAutospacing="0" w:after="0" w:afterAutospacing="0"/>
              <w:ind w:left="177" w:right="142"/>
              <w:jc w:val="both"/>
              <w:rPr>
                <w:b/>
                <w:bCs/>
              </w:rPr>
            </w:pPr>
            <w:r w:rsidRPr="005A1235">
              <w:t xml:space="preserve"> </w:t>
            </w:r>
            <w:hyperlink r:id="rId6" w:history="1">
              <w:r w:rsidRPr="00E45603">
                <w:rPr>
                  <w:rStyle w:val="a3"/>
                </w:rPr>
                <w:t>olviya.gerlyak@oblprok.lviv.ua</w:t>
              </w:r>
            </w:hyperlink>
            <w:r>
              <w:t xml:space="preserve"> </w:t>
            </w:r>
            <w:r w:rsidRPr="005A1235">
              <w:t xml:space="preserve">або </w:t>
            </w:r>
            <w:r w:rsidRPr="003362B5">
              <w:rPr>
                <w:bCs/>
              </w:rPr>
              <w:t>безпосередньо у відділ кадрової роботи та державної служби</w:t>
            </w:r>
            <w:r>
              <w:t xml:space="preserve"> Львівської</w:t>
            </w:r>
            <w:r w:rsidRPr="003362B5">
              <w:t xml:space="preserve"> обла</w:t>
            </w:r>
            <w:r>
              <w:t xml:space="preserve">сної прокуратури </w:t>
            </w:r>
            <w:r w:rsidRPr="005A1235">
              <w:t xml:space="preserve">за адресою: </w:t>
            </w:r>
            <w:r>
              <w:rPr>
                <w:b/>
                <w:bCs/>
              </w:rPr>
              <w:t>проспект Шевченка</w:t>
            </w:r>
            <w:r w:rsidRPr="005A1235">
              <w:rPr>
                <w:b/>
                <w:bCs/>
              </w:rPr>
              <w:t xml:space="preserve"> </w:t>
            </w:r>
            <w:r>
              <w:rPr>
                <w:b/>
                <w:bCs/>
              </w:rPr>
              <w:t>17-19</w:t>
            </w:r>
            <w:r w:rsidRPr="005A1235">
              <w:rPr>
                <w:b/>
                <w:bCs/>
              </w:rPr>
              <w:t xml:space="preserve">, м. </w:t>
            </w:r>
            <w:r>
              <w:rPr>
                <w:b/>
                <w:bCs/>
              </w:rPr>
              <w:t>Львів</w:t>
            </w:r>
          </w:p>
          <w:p w:rsidR="00E77A3E" w:rsidRPr="005A1235" w:rsidRDefault="00E77A3E" w:rsidP="005E5F55">
            <w:pPr>
              <w:pStyle w:val="rvps2"/>
              <w:shd w:val="clear" w:color="auto" w:fill="FFFFFF"/>
              <w:tabs>
                <w:tab w:val="left" w:pos="567"/>
                <w:tab w:val="left" w:pos="851"/>
              </w:tabs>
              <w:spacing w:before="0" w:beforeAutospacing="0" w:after="0" w:afterAutospacing="0"/>
              <w:ind w:left="177" w:right="142"/>
              <w:jc w:val="both"/>
            </w:pPr>
          </w:p>
        </w:tc>
      </w:tr>
      <w:tr w:rsidR="00E77A3E" w:rsidRPr="00314D12" w:rsidTr="005E5F55">
        <w:trPr>
          <w:trHeight w:val="1294"/>
        </w:trPr>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A3E" w:rsidRPr="00FD4558" w:rsidRDefault="00E77A3E" w:rsidP="005E5F55">
            <w:pPr>
              <w:spacing w:before="150" w:after="150" w:line="240" w:lineRule="auto"/>
              <w:rPr>
                <w:rFonts w:ascii="Times New Roman" w:eastAsia="Times New Roman" w:hAnsi="Times New Roman" w:cs="Times New Roman"/>
                <w:sz w:val="24"/>
                <w:szCs w:val="24"/>
              </w:rPr>
            </w:pPr>
            <w:r w:rsidRPr="00FD4558">
              <w:rPr>
                <w:rStyle w:val="rvts0"/>
                <w:rFonts w:ascii="Times New Roman" w:hAnsi="Times New Roman" w:cs="Times New Roman"/>
                <w:sz w:val="24"/>
                <w:szCs w:val="24"/>
              </w:rPr>
              <w:t xml:space="preserve">Прізвище, ім’я та по батькові, номер телефону та адреса електронної пошти особи, яка надає додаткову інформацію з питань </w:t>
            </w:r>
            <w:r>
              <w:rPr>
                <w:rStyle w:val="rvts0"/>
                <w:rFonts w:ascii="Times New Roman" w:hAnsi="Times New Roman" w:cs="Times New Roman"/>
                <w:sz w:val="24"/>
                <w:szCs w:val="24"/>
              </w:rPr>
              <w:t>добору персоналу</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Pr="00407B2C" w:rsidRDefault="00E77A3E" w:rsidP="0074148D">
            <w:pPr>
              <w:pStyle w:val="a4"/>
              <w:spacing w:before="0" w:beforeAutospacing="0" w:after="0" w:afterAutospacing="0"/>
              <w:ind w:left="147"/>
              <w:jc w:val="both"/>
              <w:rPr>
                <w:lang w:val="uk-UA"/>
              </w:rPr>
            </w:pPr>
            <w:r>
              <w:rPr>
                <w:lang w:val="uk-UA"/>
              </w:rPr>
              <w:t>Герляк Ольвія Олександрівна</w:t>
            </w:r>
          </w:p>
          <w:p w:rsidR="00E77A3E" w:rsidRPr="00685B5C" w:rsidRDefault="00D45A08" w:rsidP="0074148D">
            <w:pPr>
              <w:pStyle w:val="a4"/>
              <w:spacing w:after="0"/>
              <w:ind w:left="147"/>
              <w:jc w:val="both"/>
              <w:rPr>
                <w:lang w:val="uk-UA"/>
              </w:rPr>
            </w:pPr>
            <w:r>
              <w:rPr>
                <w:lang w:val="uk-UA"/>
              </w:rPr>
              <w:t>(032</w:t>
            </w:r>
            <w:r w:rsidR="00E77A3E">
              <w:rPr>
                <w:lang w:val="uk-UA"/>
              </w:rPr>
              <w:t>)</w:t>
            </w:r>
            <w:r>
              <w:rPr>
                <w:color w:val="000000"/>
                <w:sz w:val="26"/>
                <w:szCs w:val="26"/>
                <w:lang w:val="uk-UA"/>
              </w:rPr>
              <w:t xml:space="preserve"> 235-83-55</w:t>
            </w:r>
          </w:p>
          <w:p w:rsidR="00E77A3E" w:rsidRPr="00314D12" w:rsidRDefault="00E77A3E" w:rsidP="0074148D">
            <w:pPr>
              <w:spacing w:before="150" w:after="150" w:line="240" w:lineRule="auto"/>
              <w:ind w:left="147"/>
              <w:rPr>
                <w:rFonts w:ascii="Times New Roman" w:eastAsia="Times New Roman" w:hAnsi="Times New Roman" w:cs="Times New Roman"/>
                <w:sz w:val="24"/>
                <w:szCs w:val="24"/>
              </w:rPr>
            </w:pPr>
            <w:r w:rsidRPr="008C1EF3">
              <w:rPr>
                <w:rFonts w:ascii="Times New Roman" w:eastAsia="Times New Roman" w:hAnsi="Times New Roman" w:cs="Times New Roman"/>
                <w:sz w:val="24"/>
                <w:szCs w:val="24"/>
              </w:rPr>
              <w:lastRenderedPageBreak/>
              <w:t>olviya.gerlyak@oblprok.lviv.ua</w:t>
            </w:r>
          </w:p>
        </w:tc>
      </w:tr>
      <w:tr w:rsidR="00E77A3E" w:rsidRPr="00314D12" w:rsidTr="005E5F55">
        <w:tc>
          <w:tcPr>
            <w:tcW w:w="9782" w:type="dxa"/>
            <w:gridSpan w:val="5"/>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Кваліфікаційні в</w:t>
            </w:r>
            <w:r w:rsidRPr="00314D12">
              <w:rPr>
                <w:rFonts w:ascii="Times New Roman" w:eastAsia="Times New Roman" w:hAnsi="Times New Roman" w:cs="Times New Roman"/>
                <w:sz w:val="24"/>
                <w:szCs w:val="24"/>
              </w:rPr>
              <w:t>имоги</w:t>
            </w:r>
          </w:p>
        </w:tc>
      </w:tr>
      <w:tr w:rsidR="00E77A3E" w:rsidRPr="00314D12" w:rsidTr="005E5F55">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jc w:val="center"/>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1.</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Освіта</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Pr="00E51A13" w:rsidRDefault="00E77A3E" w:rsidP="005E5F55">
            <w:pPr>
              <w:tabs>
                <w:tab w:val="left" w:pos="480"/>
              </w:tabs>
              <w:ind w:left="177" w:right="142"/>
              <w:jc w:val="both"/>
              <w:rPr>
                <w:rFonts w:ascii="Times New Roman" w:hAnsi="Times New Roman" w:cs="Times New Roman"/>
                <w:sz w:val="24"/>
                <w:szCs w:val="24"/>
              </w:rPr>
            </w:pPr>
            <w:r w:rsidRPr="00E51A13">
              <w:rPr>
                <w:rFonts w:ascii="Times New Roman" w:hAnsi="Times New Roman" w:cs="Times New Roman"/>
                <w:color w:val="000000" w:themeColor="text1"/>
                <w:sz w:val="24"/>
                <w:szCs w:val="24"/>
                <w:shd w:val="clear" w:color="auto" w:fill="FFFFFF"/>
              </w:rPr>
              <w:t>вища освіта ступеня не нижче молодшого бакалавра або бакалавра </w:t>
            </w:r>
          </w:p>
        </w:tc>
      </w:tr>
      <w:tr w:rsidR="00E77A3E" w:rsidRPr="00314D12" w:rsidTr="005E5F55">
        <w:trPr>
          <w:trHeight w:val="1894"/>
        </w:trPr>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jc w:val="center"/>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2.</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Досвід роботи</w:t>
            </w:r>
            <w:r>
              <w:rPr>
                <w:rFonts w:ascii="Times New Roman" w:eastAsia="Times New Roman" w:hAnsi="Times New Roman" w:cs="Times New Roman"/>
                <w:sz w:val="24"/>
                <w:szCs w:val="24"/>
              </w:rPr>
              <w:t xml:space="preserve"> </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Pr="00E51A13" w:rsidRDefault="00E77A3E" w:rsidP="005E5F55">
            <w:pPr>
              <w:ind w:right="142" w:firstLine="179"/>
              <w:jc w:val="both"/>
              <w:rPr>
                <w:rFonts w:ascii="Times New Roman" w:hAnsi="Times New Roman" w:cs="Times New Roman"/>
                <w:sz w:val="24"/>
              </w:rPr>
            </w:pPr>
            <w:r>
              <w:rPr>
                <w:rFonts w:ascii="Times New Roman" w:hAnsi="Times New Roman" w:cs="Times New Roman"/>
                <w:sz w:val="24"/>
              </w:rPr>
              <w:t>досвіду роботи не потребує</w:t>
            </w:r>
          </w:p>
        </w:tc>
      </w:tr>
      <w:tr w:rsidR="00E77A3E" w:rsidRPr="00314D12" w:rsidTr="005E5F55">
        <w:trPr>
          <w:trHeight w:val="690"/>
        </w:trPr>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4D12">
              <w:rPr>
                <w:rFonts w:ascii="Times New Roman" w:eastAsia="Times New Roman" w:hAnsi="Times New Roman" w:cs="Times New Roman"/>
                <w:sz w:val="24"/>
                <w:szCs w:val="24"/>
              </w:rPr>
              <w:t>.</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Володіння державною мовою</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ind w:left="147"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E77A3E"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2" w:type="dxa"/>
            <w:gridSpan w:val="5"/>
            <w:shd w:val="clear" w:color="auto" w:fill="auto"/>
            <w:hideMark/>
          </w:tcPr>
          <w:p w:rsidR="00E77A3E" w:rsidRDefault="00E77A3E" w:rsidP="005E5F55">
            <w:pPr>
              <w:pStyle w:val="rvps12"/>
              <w:spacing w:before="150" w:beforeAutospacing="0" w:after="150" w:afterAutospacing="0"/>
              <w:jc w:val="center"/>
            </w:pPr>
            <w:r>
              <w:t>Вимоги до компетентності</w:t>
            </w:r>
          </w:p>
        </w:tc>
      </w:tr>
      <w:tr w:rsidR="00E77A3E"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518" w:type="dxa"/>
            <w:gridSpan w:val="3"/>
            <w:shd w:val="clear" w:color="auto" w:fill="auto"/>
            <w:hideMark/>
          </w:tcPr>
          <w:p w:rsidR="00E77A3E" w:rsidRDefault="00E77A3E" w:rsidP="005E5F55">
            <w:pPr>
              <w:pStyle w:val="rvps12"/>
              <w:spacing w:before="150" w:beforeAutospacing="0" w:after="150" w:afterAutospacing="0"/>
              <w:jc w:val="center"/>
            </w:pPr>
            <w:r>
              <w:t>Вимога</w:t>
            </w:r>
          </w:p>
        </w:tc>
        <w:tc>
          <w:tcPr>
            <w:tcW w:w="5264" w:type="dxa"/>
            <w:gridSpan w:val="2"/>
            <w:shd w:val="clear" w:color="auto" w:fill="auto"/>
            <w:hideMark/>
          </w:tcPr>
          <w:p w:rsidR="00E77A3E" w:rsidRDefault="00E77A3E" w:rsidP="005E5F55">
            <w:pPr>
              <w:pStyle w:val="rvps12"/>
              <w:spacing w:before="150" w:beforeAutospacing="0" w:after="150" w:afterAutospacing="0"/>
              <w:jc w:val="center"/>
            </w:pPr>
            <w:r>
              <w:t>Компоненти вимоги</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1</w:t>
            </w:r>
          </w:p>
        </w:tc>
        <w:tc>
          <w:tcPr>
            <w:tcW w:w="3938" w:type="dxa"/>
            <w:gridSpan w:val="2"/>
            <w:tcBorders>
              <w:bottom w:val="single" w:sz="6" w:space="0" w:color="000000"/>
            </w:tcBorders>
          </w:tcPr>
          <w:p w:rsidR="00E77A3E" w:rsidRDefault="00E77A3E" w:rsidP="005E5F55">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Ефективність координації з іншими</w:t>
            </w:r>
          </w:p>
        </w:tc>
        <w:tc>
          <w:tcPr>
            <w:tcW w:w="5264" w:type="dxa"/>
            <w:gridSpan w:val="2"/>
            <w:tcBorders>
              <w:bottom w:val="single" w:sz="6" w:space="0" w:color="000000"/>
            </w:tcBorders>
          </w:tcPr>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FB27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уміння конструктивного обміну інформацією;</w:t>
            </w:r>
          </w:p>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 </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2</w:t>
            </w:r>
          </w:p>
        </w:tc>
        <w:tc>
          <w:tcPr>
            <w:tcW w:w="3938" w:type="dxa"/>
            <w:gridSpan w:val="2"/>
          </w:tcPr>
          <w:p w:rsidR="00E77A3E" w:rsidRPr="00893995" w:rsidRDefault="00E77A3E" w:rsidP="005E5F55">
            <w:pPr>
              <w:pBdr>
                <w:top w:val="nil"/>
                <w:left w:val="nil"/>
                <w:bottom w:val="nil"/>
                <w:right w:val="nil"/>
                <w:between w:val="nil"/>
              </w:pBdr>
              <w:ind w:left="176" w:right="106"/>
              <w:rPr>
                <w:rFonts w:ascii="Times New Roman" w:hAnsi="Times New Roman" w:cs="Times New Roman"/>
                <w:color w:val="000000"/>
                <w:sz w:val="24"/>
                <w:szCs w:val="24"/>
              </w:rPr>
            </w:pPr>
            <w:r w:rsidRPr="00893995">
              <w:rPr>
                <w:rFonts w:ascii="Times New Roman" w:hAnsi="Times New Roman" w:cs="Times New Roman"/>
                <w:color w:val="000000"/>
                <w:sz w:val="24"/>
                <w:szCs w:val="24"/>
              </w:rPr>
              <w:t>Відповідальність</w:t>
            </w:r>
          </w:p>
        </w:tc>
        <w:tc>
          <w:tcPr>
            <w:tcW w:w="5264" w:type="dxa"/>
            <w:gridSpan w:val="2"/>
          </w:tcPr>
          <w:p w:rsidR="00E77A3E" w:rsidRPr="000F14F5"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здатність брати на себе зобов’язання, чітко їх дотримуватись і виконувати</w:t>
            </w:r>
          </w:p>
          <w:p w:rsidR="00E77A3E" w:rsidRPr="000F14F5" w:rsidRDefault="00E77A3E" w:rsidP="005E5F55">
            <w:pPr>
              <w:widowControl w:val="0"/>
              <w:pBdr>
                <w:top w:val="nil"/>
                <w:left w:val="nil"/>
                <w:bottom w:val="nil"/>
                <w:right w:val="nil"/>
                <w:between w:val="nil"/>
              </w:pBdr>
              <w:tabs>
                <w:tab w:val="left" w:pos="572"/>
              </w:tabs>
              <w:spacing w:after="0" w:line="240" w:lineRule="auto"/>
              <w:ind w:left="179" w:right="272"/>
              <w:jc w:val="both"/>
              <w:rPr>
                <w:rFonts w:ascii="Times New Roman" w:eastAsia="Times New Roman" w:hAnsi="Times New Roman" w:cs="Times New Roman"/>
                <w:color w:val="000000"/>
                <w:sz w:val="24"/>
                <w:szCs w:val="24"/>
              </w:rPr>
            </w:pP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3</w:t>
            </w:r>
          </w:p>
        </w:tc>
        <w:tc>
          <w:tcPr>
            <w:tcW w:w="3938" w:type="dxa"/>
            <w:gridSpan w:val="2"/>
          </w:tcPr>
          <w:p w:rsidR="00E77A3E" w:rsidRPr="00FB27F9" w:rsidRDefault="00E77A3E" w:rsidP="005E5F55">
            <w:pPr>
              <w:pBdr>
                <w:top w:val="nil"/>
                <w:left w:val="nil"/>
                <w:bottom w:val="nil"/>
                <w:right w:val="nil"/>
                <w:between w:val="nil"/>
              </w:pBdr>
              <w:tabs>
                <w:tab w:val="left" w:pos="1903"/>
              </w:tabs>
              <w:ind w:left="176" w:right="106"/>
              <w:rPr>
                <w:rFonts w:ascii="Times New Roman" w:eastAsia="Times New Roman" w:hAnsi="Times New Roman" w:cs="Times New Roman"/>
                <w:sz w:val="24"/>
                <w:szCs w:val="24"/>
              </w:rPr>
            </w:pPr>
            <w:r w:rsidRPr="00FB27F9">
              <w:rPr>
                <w:rFonts w:ascii="Times New Roman" w:eastAsia="Times New Roman" w:hAnsi="Times New Roman" w:cs="Times New Roman"/>
                <w:sz w:val="24"/>
                <w:szCs w:val="24"/>
              </w:rPr>
              <w:t>Ефективність аналізу та висновків</w:t>
            </w:r>
          </w:p>
        </w:tc>
        <w:tc>
          <w:tcPr>
            <w:tcW w:w="5264" w:type="dxa"/>
            <w:gridSpan w:val="2"/>
          </w:tcPr>
          <w:p w:rsidR="00E77A3E" w:rsidRPr="00FB27F9" w:rsidRDefault="00E77A3E" w:rsidP="005E5F55">
            <w:pPr>
              <w:pStyle w:val="a6"/>
              <w:widowControl w:val="0"/>
              <w:numPr>
                <w:ilvl w:val="0"/>
                <w:numId w:val="1"/>
              </w:numPr>
              <w:pBdr>
                <w:top w:val="nil"/>
                <w:left w:val="nil"/>
                <w:bottom w:val="nil"/>
                <w:right w:val="nil"/>
                <w:between w:val="nil"/>
              </w:pBdr>
              <w:tabs>
                <w:tab w:val="left" w:pos="271"/>
                <w:tab w:val="left" w:pos="572"/>
              </w:tabs>
              <w:spacing w:after="0" w:line="240" w:lineRule="auto"/>
              <w:ind w:right="272"/>
              <w:jc w:val="both"/>
              <w:rPr>
                <w:rFonts w:ascii="Times New Roman" w:eastAsia="Times New Roman" w:hAnsi="Times New Roman" w:cs="Times New Roman"/>
                <w:sz w:val="24"/>
                <w:szCs w:val="24"/>
              </w:rPr>
            </w:pPr>
            <w:r w:rsidRPr="00FB27F9">
              <w:rPr>
                <w:rFonts w:ascii="Times New Roman" w:eastAsia="Times New Roman" w:hAnsi="Times New Roman" w:cs="Times New Roman"/>
                <w:sz w:val="24"/>
                <w:szCs w:val="24"/>
              </w:rPr>
              <w:t>здатність робити коректні висновки</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4</w:t>
            </w:r>
          </w:p>
        </w:tc>
        <w:tc>
          <w:tcPr>
            <w:tcW w:w="3938" w:type="dxa"/>
            <w:gridSpan w:val="2"/>
          </w:tcPr>
          <w:p w:rsidR="00E77A3E" w:rsidRPr="00ED7C85" w:rsidRDefault="00E77A3E" w:rsidP="005E5F55">
            <w:pPr>
              <w:pBdr>
                <w:top w:val="nil"/>
                <w:left w:val="nil"/>
                <w:bottom w:val="nil"/>
                <w:right w:val="nil"/>
                <w:between w:val="nil"/>
              </w:pBdr>
              <w:tabs>
                <w:tab w:val="left" w:pos="1867"/>
              </w:tabs>
              <w:ind w:left="176" w:right="106"/>
              <w:rPr>
                <w:rFonts w:ascii="Times New Roman" w:eastAsia="Times New Roman" w:hAnsi="Times New Roman" w:cs="Times New Roman"/>
                <w:sz w:val="24"/>
                <w:szCs w:val="24"/>
              </w:rPr>
            </w:pPr>
            <w:r w:rsidRPr="00ED7C85">
              <w:rPr>
                <w:rFonts w:ascii="Times New Roman" w:eastAsia="Times New Roman" w:hAnsi="Times New Roman" w:cs="Times New Roman"/>
                <w:sz w:val="24"/>
                <w:szCs w:val="24"/>
              </w:rPr>
              <w:t>Уважність до деталей</w:t>
            </w:r>
          </w:p>
        </w:tc>
        <w:tc>
          <w:tcPr>
            <w:tcW w:w="5264" w:type="dxa"/>
            <w:gridSpan w:val="2"/>
          </w:tcPr>
          <w:p w:rsidR="00E77A3E" w:rsidRPr="00FB27F9"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ED7C85">
              <w:rPr>
                <w:rFonts w:ascii="Times New Roman" w:eastAsia="Times New Roman" w:hAnsi="Times New Roman" w:cs="Times New Roman"/>
                <w:sz w:val="24"/>
                <w:szCs w:val="24"/>
              </w:rPr>
              <w:t>здатний помічати окремі елементи та акцентувати увагу на деталях у своїй роботі;</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5</w:t>
            </w:r>
          </w:p>
        </w:tc>
        <w:tc>
          <w:tcPr>
            <w:tcW w:w="3938" w:type="dxa"/>
            <w:gridSpan w:val="2"/>
          </w:tcPr>
          <w:p w:rsidR="00E77A3E" w:rsidRDefault="00E77A3E" w:rsidP="005E5F55">
            <w:pPr>
              <w:pBdr>
                <w:top w:val="nil"/>
                <w:left w:val="nil"/>
                <w:bottom w:val="nil"/>
                <w:right w:val="nil"/>
                <w:between w:val="nil"/>
              </w:pBdr>
              <w:ind w:left="176"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Самоорганізація та самостійність в роботі</w:t>
            </w:r>
          </w:p>
        </w:tc>
        <w:tc>
          <w:tcPr>
            <w:tcW w:w="5264" w:type="dxa"/>
            <w:gridSpan w:val="2"/>
          </w:tcPr>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E77A3E" w:rsidRDefault="00E77A3E" w:rsidP="005E5F55">
            <w:pPr>
              <w:widowControl w:val="0"/>
              <w:numPr>
                <w:ilvl w:val="0"/>
                <w:numId w:val="1"/>
              </w:numPr>
              <w:pBdr>
                <w:top w:val="nil"/>
                <w:left w:val="nil"/>
                <w:bottom w:val="nil"/>
                <w:right w:val="nil"/>
                <w:between w:val="nil"/>
              </w:pBdr>
              <w:tabs>
                <w:tab w:val="left" w:pos="271"/>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до </w:t>
            </w:r>
            <w:proofErr w:type="spellStart"/>
            <w:r>
              <w:rPr>
                <w:rFonts w:ascii="Times New Roman" w:eastAsia="Times New Roman" w:hAnsi="Times New Roman" w:cs="Times New Roman"/>
                <w:color w:val="000000"/>
                <w:sz w:val="24"/>
                <w:szCs w:val="24"/>
              </w:rPr>
              <w:t>самомотивації</w:t>
            </w:r>
            <w:proofErr w:type="spellEnd"/>
            <w:r>
              <w:rPr>
                <w:rFonts w:ascii="Times New Roman" w:eastAsia="Times New Roman" w:hAnsi="Times New Roman" w:cs="Times New Roman"/>
                <w:color w:val="000000"/>
                <w:sz w:val="24"/>
                <w:szCs w:val="24"/>
              </w:rPr>
              <w:t xml:space="preserve"> (самоуправління);</w:t>
            </w:r>
          </w:p>
          <w:p w:rsidR="00E77A3E" w:rsidRDefault="00E77A3E" w:rsidP="005E5F55">
            <w:pPr>
              <w:widowControl w:val="0"/>
              <w:numPr>
                <w:ilvl w:val="0"/>
                <w:numId w:val="1"/>
              </w:numPr>
              <w:pBdr>
                <w:top w:val="nil"/>
                <w:left w:val="nil"/>
                <w:bottom w:val="nil"/>
                <w:right w:val="nil"/>
                <w:between w:val="nil"/>
              </w:pBdr>
              <w:tabs>
                <w:tab w:val="left" w:pos="572"/>
                <w:tab w:val="left" w:pos="1593"/>
                <w:tab w:val="left" w:pos="3212"/>
                <w:tab w:val="left" w:pos="4664"/>
                <w:tab w:val="left" w:pos="593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самостійно приймати рішення і виконувати завдання у процесі професійної діяльності</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lastRenderedPageBreak/>
              <w:t>6</w:t>
            </w:r>
          </w:p>
        </w:tc>
        <w:tc>
          <w:tcPr>
            <w:tcW w:w="3938" w:type="dxa"/>
            <w:gridSpan w:val="2"/>
          </w:tcPr>
          <w:p w:rsidR="00E77A3E" w:rsidRDefault="00E77A3E" w:rsidP="005E5F55">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Стресостійкість</w:t>
            </w:r>
          </w:p>
        </w:tc>
        <w:tc>
          <w:tcPr>
            <w:tcW w:w="5264" w:type="dxa"/>
            <w:gridSpan w:val="2"/>
          </w:tcPr>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уміння розуміти та управляти своїми емоціями;</w:t>
            </w:r>
          </w:p>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самоконтролю;</w:t>
            </w:r>
          </w:p>
          <w:p w:rsidR="00E77A3E" w:rsidRDefault="00E77A3E" w:rsidP="005E5F55">
            <w:pPr>
              <w:widowControl w:val="0"/>
              <w:numPr>
                <w:ilvl w:val="0"/>
                <w:numId w:val="1"/>
              </w:numPr>
              <w:pBdr>
                <w:top w:val="nil"/>
                <w:left w:val="nil"/>
                <w:bottom w:val="nil"/>
                <w:right w:val="nil"/>
                <w:between w:val="nil"/>
              </w:pBdr>
              <w:tabs>
                <w:tab w:val="left" w:pos="384"/>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конструктивного ставлення до зворотного зв’язку, зокрема критики;</w:t>
            </w:r>
          </w:p>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оптимізм</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8"/>
        </w:trPr>
        <w:tc>
          <w:tcPr>
            <w:tcW w:w="9782" w:type="dxa"/>
            <w:gridSpan w:val="5"/>
            <w:shd w:val="clear" w:color="auto" w:fill="auto"/>
            <w:hideMark/>
          </w:tcPr>
          <w:p w:rsidR="00E77A3E" w:rsidRPr="00085B81" w:rsidRDefault="00E77A3E" w:rsidP="005E5F55">
            <w:pPr>
              <w:pStyle w:val="rvps12"/>
              <w:spacing w:before="150" w:beforeAutospacing="0" w:after="150" w:afterAutospacing="0"/>
              <w:jc w:val="center"/>
            </w:pPr>
            <w:r w:rsidRPr="00085B81">
              <w:t>Професійні знання</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9"/>
        </w:trPr>
        <w:tc>
          <w:tcPr>
            <w:tcW w:w="4518" w:type="dxa"/>
            <w:gridSpan w:val="3"/>
            <w:shd w:val="clear" w:color="auto" w:fill="auto"/>
            <w:hideMark/>
          </w:tcPr>
          <w:p w:rsidR="00E77A3E" w:rsidRPr="00085B81" w:rsidRDefault="00E77A3E" w:rsidP="005E5F55">
            <w:pPr>
              <w:pStyle w:val="rvps12"/>
              <w:spacing w:before="150" w:beforeAutospacing="0" w:after="150" w:afterAutospacing="0"/>
              <w:jc w:val="center"/>
            </w:pPr>
            <w:r w:rsidRPr="00085B81">
              <w:t>Вимога</w:t>
            </w:r>
          </w:p>
        </w:tc>
        <w:tc>
          <w:tcPr>
            <w:tcW w:w="5264" w:type="dxa"/>
            <w:gridSpan w:val="2"/>
            <w:shd w:val="clear" w:color="auto" w:fill="auto"/>
            <w:hideMark/>
          </w:tcPr>
          <w:p w:rsidR="00E77A3E" w:rsidRPr="00085B81" w:rsidRDefault="00E77A3E" w:rsidP="005E5F55">
            <w:pPr>
              <w:pStyle w:val="rvps12"/>
              <w:spacing w:before="150" w:beforeAutospacing="0" w:after="150" w:afterAutospacing="0"/>
              <w:jc w:val="center"/>
            </w:pPr>
            <w:r w:rsidRPr="00085B81">
              <w:t>Компоненти вимоги</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61"/>
        </w:trPr>
        <w:tc>
          <w:tcPr>
            <w:tcW w:w="580" w:type="dxa"/>
            <w:shd w:val="clear" w:color="auto" w:fill="auto"/>
          </w:tcPr>
          <w:p w:rsidR="00E77A3E" w:rsidRPr="00085B81" w:rsidRDefault="00E77A3E" w:rsidP="005E5F55">
            <w:pPr>
              <w:pStyle w:val="rvps12"/>
              <w:spacing w:before="150" w:beforeAutospacing="0" w:after="150" w:afterAutospacing="0"/>
              <w:jc w:val="center"/>
            </w:pPr>
            <w:r>
              <w:t>1</w:t>
            </w:r>
          </w:p>
        </w:tc>
        <w:tc>
          <w:tcPr>
            <w:tcW w:w="3938" w:type="dxa"/>
            <w:gridSpan w:val="2"/>
            <w:shd w:val="clear" w:color="auto" w:fill="auto"/>
          </w:tcPr>
          <w:p w:rsidR="00E77A3E" w:rsidRPr="0081311A" w:rsidRDefault="00E77A3E" w:rsidP="005E5F55">
            <w:pPr>
              <w:pStyle w:val="rvps14"/>
              <w:spacing w:before="0" w:beforeAutospacing="0" w:after="150" w:afterAutospacing="0"/>
            </w:pPr>
            <w:r w:rsidRPr="0081311A">
              <w:t>Знання законодавства</w:t>
            </w:r>
          </w:p>
        </w:tc>
        <w:tc>
          <w:tcPr>
            <w:tcW w:w="5264" w:type="dxa"/>
            <w:gridSpan w:val="2"/>
            <w:shd w:val="clear" w:color="auto" w:fill="auto"/>
          </w:tcPr>
          <w:p w:rsidR="00D45A08" w:rsidRDefault="00E77A3E" w:rsidP="00D45A08">
            <w:pPr>
              <w:pStyle w:val="rvps14"/>
              <w:spacing w:before="0" w:beforeAutospacing="0" w:after="0" w:afterAutospacing="0"/>
              <w:ind w:left="163"/>
            </w:pPr>
            <w:r w:rsidRPr="0081311A">
              <w:t>Знання:</w:t>
            </w:r>
            <w:r w:rsidRPr="0081311A">
              <w:br/>
            </w:r>
            <w:hyperlink r:id="rId7" w:tgtFrame="_blank" w:history="1">
              <w:r w:rsidRPr="0081311A">
                <w:rPr>
                  <w:rStyle w:val="a3"/>
                </w:rPr>
                <w:t>Конституції України</w:t>
              </w:r>
            </w:hyperlink>
            <w:r w:rsidRPr="0081311A">
              <w:t>;</w:t>
            </w:r>
            <w:r w:rsidRPr="0081311A">
              <w:br/>
            </w:r>
            <w:hyperlink r:id="rId8" w:tgtFrame="_blank" w:history="1">
              <w:r w:rsidRPr="0081311A">
                <w:rPr>
                  <w:rStyle w:val="a3"/>
                </w:rPr>
                <w:t>Закону України</w:t>
              </w:r>
            </w:hyperlink>
            <w:r w:rsidRPr="0081311A">
              <w:t> “Про державну службу”;</w:t>
            </w:r>
          </w:p>
          <w:p w:rsidR="00E77A3E" w:rsidRPr="0081311A" w:rsidRDefault="006215C0" w:rsidP="00D45A08">
            <w:pPr>
              <w:pStyle w:val="rvps14"/>
              <w:spacing w:before="0" w:beforeAutospacing="0" w:after="0" w:afterAutospacing="0"/>
              <w:ind w:left="163"/>
            </w:pPr>
            <w:hyperlink r:id="rId9" w:tgtFrame="_blank" w:history="1">
              <w:r w:rsidR="00D45A08" w:rsidRPr="0081311A">
                <w:rPr>
                  <w:rStyle w:val="a3"/>
                </w:rPr>
                <w:t>Закону України</w:t>
              </w:r>
            </w:hyperlink>
            <w:r w:rsidR="00D45A08" w:rsidRPr="0081311A">
              <w:t xml:space="preserve"> “Про </w:t>
            </w:r>
            <w:r w:rsidR="00D45A08">
              <w:t>прокуратуру</w:t>
            </w:r>
            <w:r w:rsidR="00D45A08" w:rsidRPr="0081311A">
              <w:t>”</w:t>
            </w:r>
            <w:r w:rsidR="00D45A08">
              <w:t>;</w:t>
            </w:r>
            <w:r w:rsidR="00E77A3E" w:rsidRPr="0081311A">
              <w:br/>
            </w:r>
            <w:hyperlink r:id="rId10" w:tgtFrame="_blank" w:history="1">
              <w:r w:rsidR="00E77A3E" w:rsidRPr="0081311A">
                <w:rPr>
                  <w:rStyle w:val="a3"/>
                </w:rPr>
                <w:t>Закону України</w:t>
              </w:r>
            </w:hyperlink>
            <w:r w:rsidR="00E77A3E" w:rsidRPr="0081311A">
              <w:t> “Про запобігання корупції” та іншого законодавства</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61"/>
        </w:trPr>
        <w:tc>
          <w:tcPr>
            <w:tcW w:w="580" w:type="dxa"/>
            <w:shd w:val="clear" w:color="auto" w:fill="auto"/>
          </w:tcPr>
          <w:p w:rsidR="00E77A3E" w:rsidRPr="00085B81" w:rsidRDefault="00E77A3E" w:rsidP="005E5F55">
            <w:pPr>
              <w:pStyle w:val="rvps12"/>
              <w:spacing w:before="150" w:beforeAutospacing="0" w:after="150" w:afterAutospacing="0"/>
              <w:jc w:val="center"/>
            </w:pPr>
            <w:r>
              <w:t>2</w:t>
            </w:r>
          </w:p>
        </w:tc>
        <w:tc>
          <w:tcPr>
            <w:tcW w:w="3938" w:type="dxa"/>
            <w:gridSpan w:val="2"/>
            <w:shd w:val="clear" w:color="auto" w:fill="auto"/>
          </w:tcPr>
          <w:p w:rsidR="00E77A3E" w:rsidRPr="0081311A" w:rsidRDefault="00E77A3E" w:rsidP="005E5F55">
            <w:pPr>
              <w:pStyle w:val="rvps14"/>
              <w:spacing w:before="150" w:beforeAutospacing="0" w:after="150" w:afterAutospacing="0"/>
            </w:pPr>
            <w:r w:rsidRPr="0081311A">
              <w:t>Знання законодавства у сфері</w:t>
            </w:r>
          </w:p>
        </w:tc>
        <w:tc>
          <w:tcPr>
            <w:tcW w:w="5264" w:type="dxa"/>
            <w:gridSpan w:val="2"/>
            <w:shd w:val="clear" w:color="auto" w:fill="auto"/>
          </w:tcPr>
          <w:p w:rsidR="00E77A3E" w:rsidRPr="008B3914" w:rsidRDefault="00E77A3E" w:rsidP="005E5F55">
            <w:pPr>
              <w:pStyle w:val="a4"/>
              <w:spacing w:before="0" w:beforeAutospacing="0" w:after="0" w:afterAutospacing="0"/>
              <w:ind w:left="163" w:right="142"/>
              <w:rPr>
                <w:lang w:val="uk-UA"/>
              </w:rPr>
            </w:pPr>
            <w:r w:rsidRPr="008B3914">
              <w:rPr>
                <w:lang w:val="uk-UA"/>
              </w:rPr>
              <w:t>- Закон України «Про захист персональних даних».</w:t>
            </w:r>
          </w:p>
          <w:p w:rsidR="00E77A3E" w:rsidRPr="00ED7C85" w:rsidRDefault="00E77A3E" w:rsidP="005E5F55">
            <w:pPr>
              <w:pStyle w:val="a4"/>
              <w:spacing w:before="0" w:beforeAutospacing="0" w:after="0" w:afterAutospacing="0"/>
              <w:ind w:left="163" w:right="142"/>
              <w:rPr>
                <w:lang w:val="uk-UA"/>
              </w:rPr>
            </w:pPr>
            <w:r w:rsidRPr="00ED7C85">
              <w:rPr>
                <w:lang w:val="uk-UA"/>
              </w:rPr>
              <w:t>-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w:t>
            </w:r>
            <w:r>
              <w:rPr>
                <w:lang w:val="uk-UA"/>
              </w:rPr>
              <w:t>рокуратури України , затверджена</w:t>
            </w:r>
            <w:r w:rsidRPr="00ED7C85">
              <w:rPr>
                <w:lang w:val="uk-UA"/>
              </w:rPr>
              <w:t xml:space="preserve"> наказом Генеральної прокуратури України від 13.12.2017 № 349.</w:t>
            </w:r>
          </w:p>
          <w:p w:rsidR="00E77A3E" w:rsidRPr="00E22697" w:rsidRDefault="00E77A3E" w:rsidP="005E5F55">
            <w:pPr>
              <w:spacing w:after="60"/>
              <w:ind w:left="163" w:right="142" w:firstLine="142"/>
              <w:rPr>
                <w:rFonts w:ascii="Times New Roman" w:hAnsi="Times New Roman" w:cs="Times New Roman"/>
                <w:sz w:val="24"/>
                <w:szCs w:val="24"/>
              </w:rPr>
            </w:pPr>
            <w:r w:rsidRPr="00E22697">
              <w:rPr>
                <w:rFonts w:ascii="Times New Roman" w:hAnsi="Times New Roman" w:cs="Times New Roman"/>
                <w:sz w:val="24"/>
                <w:szCs w:val="24"/>
              </w:rPr>
              <w:t xml:space="preserve">- Тимчасова інструкція з діловодства в органах </w:t>
            </w:r>
            <w:r>
              <w:rPr>
                <w:rFonts w:ascii="Times New Roman" w:hAnsi="Times New Roman" w:cs="Times New Roman"/>
                <w:sz w:val="24"/>
                <w:szCs w:val="24"/>
              </w:rPr>
              <w:t>прокуратури України, затверджена</w:t>
            </w:r>
            <w:r w:rsidRPr="00E22697">
              <w:rPr>
                <w:rFonts w:ascii="Times New Roman" w:hAnsi="Times New Roman" w:cs="Times New Roman"/>
                <w:sz w:val="24"/>
                <w:szCs w:val="24"/>
              </w:rPr>
              <w:t xml:space="preserve"> наказом Генеральної прокуратури України 12.02.2019 № 27.</w:t>
            </w:r>
          </w:p>
        </w:tc>
      </w:tr>
    </w:tbl>
    <w:p w:rsidR="00E77A3E" w:rsidRDefault="00E77A3E" w:rsidP="00E77A3E"/>
    <w:p w:rsidR="004F3DE8" w:rsidRDefault="004F3DE8" w:rsidP="00073A8C"/>
    <w:sectPr w:rsidR="004F3DE8" w:rsidSect="009D5EF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643"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6D09DA"/>
    <w:multiLevelType w:val="hybridMultilevel"/>
    <w:tmpl w:val="F8D48674"/>
    <w:lvl w:ilvl="0" w:tplc="984E6D2E">
      <w:start w:val="8"/>
      <w:numFmt w:val="bullet"/>
      <w:lvlText w:val="-"/>
      <w:lvlJc w:val="left"/>
      <w:pPr>
        <w:ind w:left="537" w:hanging="360"/>
      </w:pPr>
      <w:rPr>
        <w:rFonts w:ascii="Calibri" w:eastAsiaTheme="minorHAnsi" w:hAnsi="Calibri" w:cs="Calibri" w:hint="default"/>
        <w:color w:val="000000"/>
        <w:sz w:val="22"/>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2" w15:restartNumberingAfterBreak="0">
    <w:nsid w:val="6B920AC0"/>
    <w:multiLevelType w:val="hybridMultilevel"/>
    <w:tmpl w:val="C6A08172"/>
    <w:lvl w:ilvl="0" w:tplc="A1D61A78">
      <w:numFmt w:val="bullet"/>
      <w:lvlText w:val="-"/>
      <w:lvlJc w:val="left"/>
      <w:pPr>
        <w:ind w:left="418" w:hanging="360"/>
      </w:pPr>
      <w:rPr>
        <w:rFonts w:ascii="Times New Roman" w:eastAsiaTheme="minorHAnsi" w:hAnsi="Times New Roman" w:cs="Times New Roman" w:hint="default"/>
      </w:rPr>
    </w:lvl>
    <w:lvl w:ilvl="1" w:tplc="04220003" w:tentative="1">
      <w:start w:val="1"/>
      <w:numFmt w:val="bullet"/>
      <w:lvlText w:val="o"/>
      <w:lvlJc w:val="left"/>
      <w:pPr>
        <w:ind w:left="1138" w:hanging="360"/>
      </w:pPr>
      <w:rPr>
        <w:rFonts w:ascii="Courier New" w:hAnsi="Courier New" w:cs="Courier New" w:hint="default"/>
      </w:rPr>
    </w:lvl>
    <w:lvl w:ilvl="2" w:tplc="04220005" w:tentative="1">
      <w:start w:val="1"/>
      <w:numFmt w:val="bullet"/>
      <w:lvlText w:val=""/>
      <w:lvlJc w:val="left"/>
      <w:pPr>
        <w:ind w:left="1858" w:hanging="360"/>
      </w:pPr>
      <w:rPr>
        <w:rFonts w:ascii="Wingdings" w:hAnsi="Wingdings" w:hint="default"/>
      </w:rPr>
    </w:lvl>
    <w:lvl w:ilvl="3" w:tplc="04220001" w:tentative="1">
      <w:start w:val="1"/>
      <w:numFmt w:val="bullet"/>
      <w:lvlText w:val=""/>
      <w:lvlJc w:val="left"/>
      <w:pPr>
        <w:ind w:left="2578" w:hanging="360"/>
      </w:pPr>
      <w:rPr>
        <w:rFonts w:ascii="Symbol" w:hAnsi="Symbol" w:hint="default"/>
      </w:rPr>
    </w:lvl>
    <w:lvl w:ilvl="4" w:tplc="04220003" w:tentative="1">
      <w:start w:val="1"/>
      <w:numFmt w:val="bullet"/>
      <w:lvlText w:val="o"/>
      <w:lvlJc w:val="left"/>
      <w:pPr>
        <w:ind w:left="3298" w:hanging="360"/>
      </w:pPr>
      <w:rPr>
        <w:rFonts w:ascii="Courier New" w:hAnsi="Courier New" w:cs="Courier New" w:hint="default"/>
      </w:rPr>
    </w:lvl>
    <w:lvl w:ilvl="5" w:tplc="04220005" w:tentative="1">
      <w:start w:val="1"/>
      <w:numFmt w:val="bullet"/>
      <w:lvlText w:val=""/>
      <w:lvlJc w:val="left"/>
      <w:pPr>
        <w:ind w:left="4018" w:hanging="360"/>
      </w:pPr>
      <w:rPr>
        <w:rFonts w:ascii="Wingdings" w:hAnsi="Wingdings" w:hint="default"/>
      </w:rPr>
    </w:lvl>
    <w:lvl w:ilvl="6" w:tplc="04220001" w:tentative="1">
      <w:start w:val="1"/>
      <w:numFmt w:val="bullet"/>
      <w:lvlText w:val=""/>
      <w:lvlJc w:val="left"/>
      <w:pPr>
        <w:ind w:left="4738" w:hanging="360"/>
      </w:pPr>
      <w:rPr>
        <w:rFonts w:ascii="Symbol" w:hAnsi="Symbol" w:hint="default"/>
      </w:rPr>
    </w:lvl>
    <w:lvl w:ilvl="7" w:tplc="04220003" w:tentative="1">
      <w:start w:val="1"/>
      <w:numFmt w:val="bullet"/>
      <w:lvlText w:val="o"/>
      <w:lvlJc w:val="left"/>
      <w:pPr>
        <w:ind w:left="5458" w:hanging="360"/>
      </w:pPr>
      <w:rPr>
        <w:rFonts w:ascii="Courier New" w:hAnsi="Courier New" w:cs="Courier New" w:hint="default"/>
      </w:rPr>
    </w:lvl>
    <w:lvl w:ilvl="8" w:tplc="04220005" w:tentative="1">
      <w:start w:val="1"/>
      <w:numFmt w:val="bullet"/>
      <w:lvlText w:val=""/>
      <w:lvlJc w:val="left"/>
      <w:pPr>
        <w:ind w:left="61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1A"/>
    <w:rsid w:val="00073A8C"/>
    <w:rsid w:val="00124F52"/>
    <w:rsid w:val="001D343B"/>
    <w:rsid w:val="004F29D7"/>
    <w:rsid w:val="004F3DE8"/>
    <w:rsid w:val="006215C0"/>
    <w:rsid w:val="0074148D"/>
    <w:rsid w:val="009D5EF5"/>
    <w:rsid w:val="00BD191A"/>
    <w:rsid w:val="00C550DA"/>
    <w:rsid w:val="00D45A08"/>
    <w:rsid w:val="00E77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5202"/>
  <w15:chartTrackingRefBased/>
  <w15:docId w15:val="{A773E1C5-12CB-4422-BF1D-B4677DCA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3E"/>
    <w:pPr>
      <w:spacing w:before="0" w:after="160" w:line="259"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A3E"/>
    <w:rPr>
      <w:color w:val="0000FF"/>
      <w:u w:val="single"/>
    </w:rPr>
  </w:style>
  <w:style w:type="paragraph" w:customStyle="1" w:styleId="rvps2">
    <w:name w:val="rvps2"/>
    <w:basedOn w:val="a"/>
    <w:rsid w:val="00E77A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nhideWhenUsed/>
    <w:rsid w:val="00E77A3E"/>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customStyle="1" w:styleId="rvts0">
    <w:name w:val="rvts0"/>
    <w:basedOn w:val="a0"/>
    <w:rsid w:val="00E77A3E"/>
  </w:style>
  <w:style w:type="paragraph" w:customStyle="1" w:styleId="rvps12">
    <w:name w:val="rvps12"/>
    <w:basedOn w:val="a"/>
    <w:rsid w:val="00E77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E77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ий текст"/>
    <w:basedOn w:val="a"/>
    <w:rsid w:val="00E77A3E"/>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uiPriority w:val="34"/>
    <w:qFormat/>
    <w:rsid w:val="00E77A3E"/>
    <w:pPr>
      <w:ind w:left="720"/>
      <w:contextualSpacing/>
    </w:pPr>
  </w:style>
  <w:style w:type="character" w:styleId="HTML">
    <w:name w:val="HTML Cite"/>
    <w:uiPriority w:val="99"/>
    <w:semiHidden/>
    <w:unhideWhenUsed/>
    <w:rsid w:val="00E77A3E"/>
    <w:rPr>
      <w:rFonts w:ascii="Times New Roman" w:hAnsi="Times New Roman" w:cs="Times New Roman" w:hint="default"/>
      <w:i/>
      <w:iCs/>
    </w:rPr>
  </w:style>
  <w:style w:type="character" w:customStyle="1" w:styleId="FontStyle13">
    <w:name w:val="Font Style13"/>
    <w:basedOn w:val="a0"/>
    <w:rsid w:val="001D343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viya.gerlyak@oblprok.lviv.ua" TargetMode="External"/><Relationship Id="rId11" Type="http://schemas.openxmlformats.org/officeDocument/2006/relationships/fontTable" Target="fontTable.xml"/><Relationship Id="rId5" Type="http://schemas.openxmlformats.org/officeDocument/2006/relationships/hyperlink" Target="https://zakon.rada.gov.ua/laws/show/1682-18" TargetMode="Externa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4950</Words>
  <Characters>2823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2023-03-29T10:21:00Z</dcterms:created>
  <dcterms:modified xsi:type="dcterms:W3CDTF">2023-04-18T12:23:00Z</dcterms:modified>
</cp:coreProperties>
</file>